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6C5E84">
        <w:rPr>
          <w:rFonts w:asciiTheme="majorHAnsi" w:hAnsiTheme="majorHAnsi" w:cs="MyriadPro-Black"/>
          <w:caps/>
          <w:color w:val="A6A6A6"/>
          <w:sz w:val="40"/>
          <w:szCs w:val="40"/>
        </w:rPr>
        <w:t>6</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0DE5D039"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100</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5C0230BF"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DD3638" w:rsidRPr="00DD3638">
        <w:rPr>
          <w:rFonts w:asciiTheme="majorHAnsi" w:hAnsiTheme="majorHAnsi" w:cs="MyriadPro-Black"/>
          <w:caps/>
          <w:sz w:val="40"/>
          <w:szCs w:val="40"/>
        </w:rPr>
        <w:t>7</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60134F4F" w:rsidR="00BA3C79" w:rsidRPr="00E76D3B" w:rsidRDefault="00BA3C79" w:rsidP="00BA3C79">
      <w:pPr>
        <w:pStyle w:val="Zkladnodstavec"/>
        <w:rPr>
          <w:rFonts w:asciiTheme="majorHAnsi" w:hAnsiTheme="majorHAnsi" w:cs="MyriadPro-Black"/>
          <w:caps/>
          <w:sz w:val="32"/>
          <w:szCs w:val="40"/>
        </w:rPr>
      </w:pPr>
      <w:bookmarkStart w:id="5" w:name="_GoBack"/>
      <w:bookmarkEnd w:id="5"/>
      <w:r w:rsidRPr="00886604">
        <w:rPr>
          <w:rFonts w:asciiTheme="majorHAnsi" w:hAnsiTheme="majorHAnsi" w:cs="MyriadPro-Black"/>
          <w:caps/>
          <w:sz w:val="32"/>
          <w:szCs w:val="40"/>
        </w:rPr>
        <w:t xml:space="preserve">pLATNOST OD </w:t>
      </w:r>
      <w:r w:rsidR="001F135E" w:rsidRPr="00886604">
        <w:rPr>
          <w:rFonts w:asciiTheme="majorHAnsi" w:hAnsiTheme="majorHAnsi" w:cs="MyriadPro-Black"/>
          <w:caps/>
          <w:color w:val="000000" w:themeColor="text1"/>
          <w:sz w:val="32"/>
          <w:szCs w:val="40"/>
        </w:rPr>
        <w:t>15</w:t>
      </w:r>
      <w:r w:rsidR="00AD6B2B" w:rsidRPr="00886604">
        <w:rPr>
          <w:rFonts w:asciiTheme="majorHAnsi" w:hAnsiTheme="majorHAnsi" w:cs="MyriadPro-Black"/>
          <w:caps/>
          <w:sz w:val="32"/>
          <w:szCs w:val="40"/>
        </w:rPr>
        <w:t xml:space="preserve">. </w:t>
      </w:r>
      <w:r w:rsidR="001F135E" w:rsidRPr="00886604">
        <w:rPr>
          <w:rFonts w:asciiTheme="majorHAnsi" w:hAnsiTheme="majorHAnsi" w:cs="MyriadPro-Black"/>
          <w:caps/>
          <w:sz w:val="32"/>
          <w:szCs w:val="40"/>
        </w:rPr>
        <w:t>4</w:t>
      </w:r>
      <w:r w:rsidR="0044271A" w:rsidRPr="00886604">
        <w:rPr>
          <w:rFonts w:asciiTheme="majorHAnsi" w:hAnsiTheme="majorHAnsi" w:cs="MyriadPro-Black"/>
          <w:caps/>
          <w:sz w:val="32"/>
          <w:szCs w:val="40"/>
        </w:rPr>
        <w:t>. 20</w:t>
      </w:r>
      <w:r w:rsidR="006C5E84" w:rsidRPr="00886604">
        <w:rPr>
          <w:rFonts w:asciiTheme="majorHAnsi" w:hAnsiTheme="majorHAnsi" w:cs="MyriadPro-Black"/>
          <w:caps/>
          <w:sz w:val="32"/>
          <w:szCs w:val="40"/>
        </w:rPr>
        <w:t>21</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DEEC669" w14:textId="77777777" w:rsidR="00066F64" w:rsidRPr="00E76D3B" w:rsidRDefault="00066F64" w:rsidP="00066F64">
      <w:pPr>
        <w:widowControl w:val="0"/>
        <w:tabs>
          <w:tab w:val="left" w:pos="708"/>
        </w:tabs>
        <w:spacing w:after="120"/>
        <w:rPr>
          <w:rFonts w:asciiTheme="minorHAnsi" w:hAnsiTheme="minorHAnsi"/>
          <w:snapToGrid w:val="0"/>
        </w:rPr>
      </w:pPr>
    </w:p>
    <w:p w14:paraId="3656B9AB" w14:textId="77777777" w:rsidR="00410F20" w:rsidRPr="00E76D3B" w:rsidRDefault="00410F20"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w:t>
      </w:r>
      <w:proofErr w:type="gramStart"/>
      <w:r w:rsidRPr="00E76D3B">
        <w:rPr>
          <w:rFonts w:asciiTheme="minorHAnsi" w:hAnsiTheme="minorHAnsi"/>
          <w:bCs/>
          <w:sz w:val="24"/>
          <w:szCs w:val="24"/>
        </w:rPr>
        <w:t>…….</w:t>
      </w:r>
      <w:proofErr w:type="gramEnd"/>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77777777" w:rsidR="00E6321E" w:rsidRPr="00E76D3B" w:rsidRDefault="00E6321E"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77777777"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469F6855">
        <w:rPr>
          <w:rFonts w:asciiTheme="minorHAnsi" w:hAnsiTheme="minorHAnsi"/>
          <w:b w:val="0"/>
          <w:bCs w:val="0"/>
          <w:i w:val="0"/>
          <w:iCs w:val="0"/>
        </w:rPr>
        <w:t>íly jednotlivých druhů dotace a </w:t>
      </w:r>
      <w:r w:rsidRPr="469F6855">
        <w:rPr>
          <w:rFonts w:asciiTheme="minorHAnsi" w:hAnsiTheme="minorHAnsi"/>
          <w:b w:val="0"/>
          <w:bCs w:val="0"/>
          <w:i w:val="0"/>
          <w:iCs w:val="0"/>
        </w:rPr>
        <w:t>zdrojů spolufinancování na celkových způsobilých výdajích.</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14CC4AD6">
        <w:tc>
          <w:tcPr>
            <w:tcW w:w="994" w:type="dxa"/>
          </w:tcPr>
          <w:p w14:paraId="23DE523C" w14:textId="77777777" w:rsidR="0036114D" w:rsidRPr="00E76D3B" w:rsidRDefault="0036114D" w:rsidP="00DA1992">
            <w:pPr>
              <w:spacing w:after="120"/>
              <w:rPr>
                <w:b/>
              </w:rPr>
            </w:pPr>
          </w:p>
        </w:tc>
        <w:tc>
          <w:tcPr>
            <w:tcW w:w="3650"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00BAE589"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6C831819" w14:textId="77777777" w:rsidTr="14CC4AD6">
        <w:tc>
          <w:tcPr>
            <w:tcW w:w="994" w:type="dxa"/>
          </w:tcPr>
          <w:p w14:paraId="0135CBF0"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14CC4AD6">
        <w:tc>
          <w:tcPr>
            <w:tcW w:w="994" w:type="dxa"/>
          </w:tcPr>
          <w:p w14:paraId="47886996"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 xml:space="preserve">s Metodickým </w:t>
            </w:r>
            <w:r w:rsidR="00200148" w:rsidRPr="00E76D3B">
              <w:rPr>
                <w:rFonts w:asciiTheme="minorHAnsi" w:hAnsiTheme="minorHAnsi" w:cstheme="minorHAnsi"/>
                <w:snapToGrid w:val="0"/>
                <w:sz w:val="22"/>
                <w:szCs w:val="22"/>
              </w:rPr>
              <w:lastRenderedPageBreak/>
              <w:t>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5BD2D124" w14:textId="77777777"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ravidel pro 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798C1DC8" w14:textId="77777777" w:rsidTr="14CC4AD6">
        <w:trPr>
          <w:trHeight w:val="2542"/>
        </w:trPr>
        <w:tc>
          <w:tcPr>
            <w:tcW w:w="994" w:type="dxa"/>
          </w:tcPr>
          <w:p w14:paraId="0E83F25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 xml:space="preserve"> 3.</w:t>
            </w:r>
          </w:p>
        </w:tc>
        <w:tc>
          <w:tcPr>
            <w:tcW w:w="3650"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14CC4AD6">
        <w:trPr>
          <w:trHeight w:val="1273"/>
        </w:trPr>
        <w:tc>
          <w:tcPr>
            <w:tcW w:w="994" w:type="dxa"/>
          </w:tcPr>
          <w:p w14:paraId="0F9ABB3F"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14CC4AD6">
        <w:trPr>
          <w:trHeight w:val="1296"/>
        </w:trPr>
        <w:tc>
          <w:tcPr>
            <w:tcW w:w="994" w:type="dxa"/>
            <w:vMerge w:val="restart"/>
          </w:tcPr>
          <w:p w14:paraId="56C72689"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56A29DE5" w14:textId="7777777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E76D3B" w:rsidRDefault="00D96A46">
            <w:pPr>
              <w:spacing w:after="120"/>
              <w:jc w:val="both"/>
              <w:rPr>
                <w:sz w:val="22"/>
                <w:szCs w:val="22"/>
              </w:rPr>
            </w:pPr>
          </w:p>
        </w:tc>
        <w:tc>
          <w:tcPr>
            <w:tcW w:w="2941"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5F0AC458" w14:textId="77777777" w:rsidTr="14CC4AD6">
        <w:trPr>
          <w:trHeight w:val="1408"/>
        </w:trPr>
        <w:tc>
          <w:tcPr>
            <w:tcW w:w="994" w:type="dxa"/>
            <w:vMerge/>
          </w:tcPr>
          <w:p w14:paraId="5043CB0F"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932AF0C"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0467B2EC" w14:textId="77777777"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14E3630C" w14:textId="77777777"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643E7004" w:rsidR="000C45F1" w:rsidRPr="00E76D3B" w:rsidRDefault="000C45F1" w:rsidP="62DAAA3C">
            <w:pPr>
              <w:pStyle w:val="Odstavecseseznamem"/>
              <w:widowControl w:val="0"/>
              <w:spacing w:after="120"/>
              <w:ind w:left="717"/>
              <w:jc w:val="both"/>
              <w:rPr>
                <w:rFonts w:asciiTheme="minorHAnsi" w:hAnsiTheme="minorHAnsi"/>
                <w:snapToGrid w:val="0"/>
                <w:sz w:val="22"/>
                <w:szCs w:val="22"/>
              </w:rPr>
            </w:pPr>
            <w:r w:rsidRPr="62DAAA3C">
              <w:rPr>
                <w:rFonts w:asciiTheme="minorHAnsi" w:hAnsiTheme="minorHAnsi"/>
                <w:snapToGrid w:val="0"/>
                <w:sz w:val="22"/>
                <w:szCs w:val="22"/>
              </w:rPr>
              <w:t xml:space="preserve">V případě, že je realizace etapy ukončena před schválením prvního Rozhodnutí, je příjemce povinen předložit </w:t>
            </w:r>
            <w:r w:rsidR="54435E8F" w:rsidRPr="62DAAA3C">
              <w:rPr>
                <w:rFonts w:asciiTheme="minorHAnsi" w:hAnsiTheme="minorHAnsi"/>
                <w:snapToGrid w:val="0"/>
                <w:sz w:val="22"/>
                <w:szCs w:val="22"/>
              </w:rPr>
              <w:t>Z</w:t>
            </w:r>
            <w:r w:rsidRPr="62DAAA3C">
              <w:rPr>
                <w:rFonts w:asciiTheme="minorHAnsi" w:hAnsiTheme="minorHAnsi"/>
                <w:snapToGrid w:val="0"/>
                <w:sz w:val="22"/>
                <w:szCs w:val="22"/>
              </w:rPr>
              <w:t xml:space="preserve">právu o realizaci projektu a Žádost </w:t>
            </w:r>
            <w:r w:rsidRPr="62DAAA3C">
              <w:rPr>
                <w:rFonts w:asciiTheme="minorHAnsi" w:hAnsiTheme="minorHAnsi"/>
                <w:snapToGrid w:val="0"/>
                <w:sz w:val="22"/>
                <w:szCs w:val="22"/>
              </w:rPr>
              <w:lastRenderedPageBreak/>
              <w:t>o platbu do dvaceti pracovních dnů od schválení</w:t>
            </w:r>
            <w:r w:rsidRPr="62DAAA3C">
              <w:rPr>
                <w:rStyle w:val="Znakapoznpodarou"/>
                <w:rFonts w:asciiTheme="minorHAnsi" w:hAnsiTheme="minorHAnsi"/>
                <w:snapToGrid w:val="0"/>
                <w:sz w:val="22"/>
                <w:szCs w:val="22"/>
              </w:rPr>
              <w:footnoteReference w:id="5"/>
            </w:r>
            <w:r w:rsidRPr="62DAAA3C">
              <w:rPr>
                <w:rFonts w:asciiTheme="minorHAnsi" w:hAnsiTheme="minorHAnsi"/>
                <w:snapToGrid w:val="0"/>
                <w:sz w:val="22"/>
                <w:szCs w:val="22"/>
              </w:rPr>
              <w:t xml:space="preserve"> prvního Rozhodnutí.</w:t>
            </w:r>
          </w:p>
        </w:tc>
        <w:tc>
          <w:tcPr>
            <w:tcW w:w="1701" w:type="dxa"/>
          </w:tcPr>
          <w:p w14:paraId="00B13227" w14:textId="4A5C34FA"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00C44408" w:rsidRPr="5CE9D558">
              <w:rPr>
                <w:rFonts w:asciiTheme="minorHAnsi" w:hAnsiTheme="minorHAnsi" w:cstheme="minorBidi"/>
                <w:sz w:val="22"/>
                <w:szCs w:val="22"/>
                <w:lang w:eastAsia="ar-SA"/>
              </w:rPr>
              <w:t>č. </w:t>
            </w:r>
            <w:r w:rsidR="004534D7" w:rsidRPr="5CE9D558">
              <w:rPr>
                <w:rFonts w:asciiTheme="minorHAnsi" w:hAnsiTheme="minorHAnsi" w:cstheme="minorBidi"/>
                <w:sz w:val="22"/>
                <w:szCs w:val="22"/>
                <w:lang w:eastAsia="ar-SA"/>
              </w:rPr>
              <w:t>218/2000 </w:t>
            </w:r>
            <w:r w:rsidRPr="5CE9D558">
              <w:rPr>
                <w:rFonts w:asciiTheme="minorHAnsi" w:hAnsiTheme="minorHAnsi" w:cstheme="minorBidi"/>
                <w:sz w:val="22"/>
                <w:szCs w:val="22"/>
                <w:lang w:eastAsia="ar-SA"/>
              </w:rPr>
              <w:t>Sb., o rozpočtových pravidlech</w:t>
            </w:r>
            <w:r w:rsidR="501A7EFC"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A758157" w14:textId="4E692765"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523A8C24"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338DC8CE" w14:textId="77777777" w:rsidTr="14CC4AD6">
        <w:trPr>
          <w:trHeight w:val="1492"/>
        </w:trPr>
        <w:tc>
          <w:tcPr>
            <w:tcW w:w="994" w:type="dxa"/>
            <w:vMerge/>
          </w:tcPr>
          <w:p w14:paraId="07459315" w14:textId="77777777" w:rsidR="00D96A46" w:rsidRPr="00E76D3B" w:rsidRDefault="00D96A46">
            <w:pPr>
              <w:spacing w:after="120"/>
              <w:rPr>
                <w:rFonts w:asciiTheme="minorHAnsi" w:hAnsiTheme="minorHAnsi"/>
                <w:sz w:val="22"/>
                <w:szCs w:val="22"/>
              </w:rPr>
            </w:pPr>
          </w:p>
        </w:tc>
        <w:tc>
          <w:tcPr>
            <w:tcW w:w="3650"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4950920C" w14:textId="77777777" w:rsidTr="14CC4AD6">
        <w:trPr>
          <w:trHeight w:val="1492"/>
        </w:trPr>
        <w:tc>
          <w:tcPr>
            <w:tcW w:w="994" w:type="dxa"/>
            <w:vMerge/>
          </w:tcPr>
          <w:p w14:paraId="6537F28F" w14:textId="77777777" w:rsidR="00D96A46" w:rsidRPr="00E76D3B" w:rsidRDefault="00D96A46">
            <w:pPr>
              <w:spacing w:after="120"/>
              <w:rPr>
                <w:rFonts w:asciiTheme="minorHAnsi" w:hAnsiTheme="minorHAnsi"/>
                <w:sz w:val="22"/>
                <w:szCs w:val="22"/>
              </w:rPr>
            </w:pPr>
          </w:p>
        </w:tc>
        <w:tc>
          <w:tcPr>
            <w:tcW w:w="3650" w:type="dxa"/>
          </w:tcPr>
          <w:p w14:paraId="4E1076F6" w14:textId="77777777" w:rsidR="00D334B1" w:rsidRPr="00E76D3B" w:rsidRDefault="00252A8A">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24E5E7BF" w14:textId="77777777" w:rsidR="00D96A46"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4536351" w14:textId="77777777" w:rsidR="00D334B1"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77C05B36" w14:textId="1AE6D704"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2FE66EF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4BAC104C" w14:textId="0BE3553B" w:rsidR="00D96A46" w:rsidRPr="00E76D3B" w:rsidRDefault="00040F1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 xml:space="preserve">Za opožděné odevzdání dokumentů po uplynutí dodatečné lhůty, stanovené </w:t>
            </w:r>
            <w:r w:rsidRPr="6AD0846F">
              <w:rPr>
                <w:rFonts w:asciiTheme="minorHAnsi" w:hAnsiTheme="minorHAnsi" w:cstheme="minorBidi"/>
                <w:sz w:val="22"/>
                <w:szCs w:val="22"/>
                <w:lang w:eastAsia="ar-SA"/>
              </w:rPr>
              <w:t xml:space="preserve">podle odst. 1, §14f zákona </w:t>
            </w:r>
            <w:r w:rsidR="004534D7" w:rsidRPr="6AD0846F">
              <w:rPr>
                <w:rFonts w:asciiTheme="minorHAnsi" w:hAnsiTheme="minorHAnsi" w:cstheme="minorBidi"/>
                <w:sz w:val="22"/>
                <w:szCs w:val="22"/>
                <w:lang w:eastAsia="ar-SA"/>
              </w:rPr>
              <w:t>č. 218/2000 Sb., o </w:t>
            </w:r>
            <w:r w:rsidRPr="6AD0846F">
              <w:rPr>
                <w:rFonts w:asciiTheme="minorHAnsi" w:hAnsiTheme="minorHAnsi" w:cstheme="minorBidi"/>
                <w:sz w:val="22"/>
                <w:szCs w:val="22"/>
                <w:lang w:eastAsia="ar-SA"/>
              </w:rPr>
              <w:t>rozpočtových pravidlech,</w:t>
            </w:r>
            <w:r w:rsidR="7B33F1F7" w:rsidRPr="6AD0846F">
              <w:rPr>
                <w:rFonts w:asciiTheme="minorHAnsi" w:hAnsiTheme="minorHAnsi" w:cstheme="minorBidi"/>
                <w:sz w:val="22"/>
                <w:szCs w:val="22"/>
                <w:lang w:eastAsia="ar-SA"/>
              </w:rPr>
              <w:t xml:space="preserve"> ve znění pozdějších předpisů,</w:t>
            </w:r>
            <w:r w:rsidRPr="6AD0846F">
              <w:rPr>
                <w:rFonts w:asciiTheme="minorHAnsi" w:hAnsiTheme="minorHAnsi" w:cstheme="minorBidi"/>
                <w:sz w:val="22"/>
                <w:szCs w:val="22"/>
                <w:lang w:eastAsia="ar-SA"/>
              </w:rPr>
              <w:t xml:space="preserve"> </w:t>
            </w:r>
            <w:r w:rsidR="009A6301" w:rsidRPr="6AD0846F">
              <w:rPr>
                <w:rFonts w:asciiTheme="minorHAnsi" w:hAnsiTheme="minorHAnsi"/>
                <w:snapToGrid w:val="0"/>
                <w:sz w:val="22"/>
                <w:szCs w:val="22"/>
              </w:rPr>
              <w:t>bude dotace krácena o 1 </w:t>
            </w:r>
            <w:r w:rsidRPr="6AD0846F">
              <w:rPr>
                <w:rFonts w:asciiTheme="minorHAnsi" w:hAnsiTheme="minorHAnsi"/>
                <w:snapToGrid w:val="0"/>
                <w:sz w:val="22"/>
                <w:szCs w:val="22"/>
              </w:rPr>
              <w:t xml:space="preserve">% </w:t>
            </w:r>
            <w:r w:rsidR="009A6301" w:rsidRPr="6AD0846F">
              <w:rPr>
                <w:rFonts w:asciiTheme="minorHAnsi" w:hAnsiTheme="minorHAnsi"/>
                <w:snapToGrid w:val="0"/>
                <w:sz w:val="22"/>
                <w:szCs w:val="22"/>
              </w:rPr>
              <w:t>z </w:t>
            </w:r>
            <w:r w:rsidR="00A24EB0" w:rsidRPr="6AD0846F">
              <w:rPr>
                <w:rFonts w:asciiTheme="minorHAnsi" w:hAnsiTheme="minorHAnsi"/>
                <w:snapToGrid w:val="0"/>
                <w:sz w:val="22"/>
                <w:szCs w:val="22"/>
              </w:rPr>
              <w:t>celkové částky vyplacené dotace</w:t>
            </w:r>
            <w:r w:rsidR="009A6301" w:rsidRPr="6AD0846F">
              <w:rPr>
                <w:rFonts w:asciiTheme="minorHAnsi" w:hAnsiTheme="minorHAnsi"/>
                <w:snapToGrid w:val="0"/>
                <w:sz w:val="22"/>
                <w:szCs w:val="22"/>
              </w:rPr>
              <w:t xml:space="preserve">, maximálně však </w:t>
            </w:r>
            <w:r w:rsidRPr="6AD0846F">
              <w:rPr>
                <w:rFonts w:asciiTheme="minorHAnsi" w:hAnsiTheme="minorHAnsi"/>
                <w:snapToGrid w:val="0"/>
                <w:sz w:val="22"/>
                <w:szCs w:val="22"/>
              </w:rPr>
              <w:t>o 5 000,- Kč.</w:t>
            </w:r>
          </w:p>
        </w:tc>
      </w:tr>
      <w:tr w:rsidR="008E158F" w:rsidRPr="00E76D3B" w14:paraId="6D316B6D" w14:textId="77777777" w:rsidTr="14CC4AD6">
        <w:trPr>
          <w:trHeight w:val="1686"/>
        </w:trPr>
        <w:tc>
          <w:tcPr>
            <w:tcW w:w="994" w:type="dxa"/>
            <w:vMerge w:val="restart"/>
          </w:tcPr>
          <w:p w14:paraId="6D7F3110"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lastRenderedPageBreak/>
              <w:t xml:space="preserve">6. </w:t>
            </w:r>
          </w:p>
        </w:tc>
        <w:tc>
          <w:tcPr>
            <w:tcW w:w="3650"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7A3606C3"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4984716"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4E60FA4D" w:rsidRPr="62DAAA3C">
              <w:rPr>
                <w:rFonts w:asciiTheme="minorHAnsi" w:hAnsiTheme="minorHAnsi"/>
                <w:snapToGrid w:val="0"/>
                <w:sz w:val="22"/>
                <w:szCs w:val="22"/>
              </w:rPr>
              <w:t xml:space="preserve">SR a </w:t>
            </w:r>
            <w:r w:rsidRPr="62DAAA3C">
              <w:rPr>
                <w:rFonts w:asciiTheme="minorHAnsi" w:hAnsiTheme="minorHAnsi"/>
                <w:snapToGrid w:val="0"/>
                <w:sz w:val="22"/>
                <w:szCs w:val="22"/>
              </w:rPr>
              <w:t>SF v letech,</w:t>
            </w:r>
          </w:p>
          <w:p w14:paraId="7CDEEC2A"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7F9A2685" w14:textId="77777777" w:rsidR="00D44F35" w:rsidRPr="00E76D3B" w:rsidRDefault="00C44408">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512DEB36"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4539F8C4" w14:textId="69B94483"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Pr="5CE9D558">
              <w:rPr>
                <w:rFonts w:asciiTheme="minorHAnsi" w:hAnsiTheme="minorHAnsi"/>
                <w:snapToGrid w:val="0"/>
                <w:sz w:val="22"/>
                <w:szCs w:val="22"/>
              </w:rPr>
              <w:t>o 10 000,- Kč.</w:t>
            </w:r>
          </w:p>
          <w:p w14:paraId="6DFB9E20" w14:textId="77777777" w:rsidR="008E158F" w:rsidRPr="00E76D3B" w:rsidRDefault="008E158F">
            <w:pPr>
              <w:spacing w:after="120"/>
              <w:jc w:val="both"/>
            </w:pPr>
          </w:p>
        </w:tc>
      </w:tr>
      <w:tr w:rsidR="008E158F" w:rsidRPr="00E76D3B" w14:paraId="7EBA7BE0" w14:textId="77777777" w:rsidTr="14CC4AD6">
        <w:trPr>
          <w:trHeight w:val="2231"/>
        </w:trPr>
        <w:tc>
          <w:tcPr>
            <w:tcW w:w="994" w:type="dxa"/>
            <w:vMerge/>
          </w:tcPr>
          <w:p w14:paraId="70DF9E56" w14:textId="77777777" w:rsidR="008E158F" w:rsidRPr="00E76D3B" w:rsidRDefault="008E158F">
            <w:pPr>
              <w:spacing w:after="120"/>
              <w:rPr>
                <w:rFonts w:asciiTheme="minorHAnsi" w:hAnsiTheme="minorHAnsi"/>
                <w:sz w:val="22"/>
                <w:szCs w:val="22"/>
              </w:rPr>
            </w:pPr>
          </w:p>
        </w:tc>
        <w:tc>
          <w:tcPr>
            <w:tcW w:w="3650"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14CC4AD6">
        <w:trPr>
          <w:trHeight w:val="835"/>
        </w:trPr>
        <w:tc>
          <w:tcPr>
            <w:tcW w:w="994" w:type="dxa"/>
          </w:tcPr>
          <w:p w14:paraId="45CB103B"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14CC4AD6">
        <w:trPr>
          <w:trHeight w:val="1260"/>
        </w:trPr>
        <w:tc>
          <w:tcPr>
            <w:tcW w:w="994" w:type="dxa"/>
          </w:tcPr>
          <w:p w14:paraId="3DF6D3BA"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16E8440F" w14:textId="0B544FF3"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 xml:space="preserve">prokázat, že indikátory </w:t>
            </w:r>
            <w:r w:rsidR="734D4DA1" w:rsidRPr="5CE9D558">
              <w:rPr>
                <w:rFonts w:asciiTheme="minorHAnsi" w:hAnsiTheme="minorHAnsi"/>
                <w:snapToGrid w:val="0"/>
                <w:sz w:val="22"/>
                <w:szCs w:val="22"/>
              </w:rPr>
              <w:t xml:space="preserve">I. - III. </w:t>
            </w:r>
            <w:r w:rsidRPr="5CE9D558">
              <w:rPr>
                <w:rFonts w:asciiTheme="minorHAnsi" w:hAnsiTheme="minorHAnsi"/>
                <w:snapToGrid w:val="0"/>
                <w:sz w:val="22"/>
                <w:szCs w:val="22"/>
              </w:rPr>
              <w:t>byly naplněny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Naplnění indikátorů IV.</w:t>
            </w:r>
            <w:r w:rsidR="002543D5">
              <w:rPr>
                <w:rFonts w:asciiTheme="minorHAnsi" w:hAnsiTheme="minorHAnsi"/>
                <w:snapToGrid w:val="0"/>
                <w:sz w:val="22"/>
                <w:szCs w:val="22"/>
              </w:rPr>
              <w:t xml:space="preserve"> </w:t>
            </w:r>
            <w:r w:rsidR="0BB9AFF2" w:rsidRPr="5CE9D558">
              <w:rPr>
                <w:rFonts w:asciiTheme="minorHAnsi" w:hAnsiTheme="minorHAnsi"/>
                <w:snapToGrid w:val="0"/>
                <w:sz w:val="22"/>
                <w:szCs w:val="22"/>
              </w:rPr>
              <w:t xml:space="preserve"> je příjemce povinen vykázat nejpozději </w:t>
            </w:r>
            <w:r w:rsidR="01278CF3" w:rsidRPr="5CE9D558">
              <w:rPr>
                <w:rFonts w:asciiTheme="minorHAnsi" w:hAnsiTheme="minorHAnsi"/>
                <w:snapToGrid w:val="0"/>
                <w:sz w:val="22"/>
                <w:szCs w:val="22"/>
              </w:rPr>
              <w:t>při podání první zprávy o udržitelnosti.</w:t>
            </w:r>
          </w:p>
          <w:p w14:paraId="78BB1F9C" w14:textId="77777777"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Indikátory:</w:t>
            </w:r>
          </w:p>
          <w:p w14:paraId="4B920105" w14:textId="64410970" w:rsidR="00F442BA" w:rsidRPr="00DD3638" w:rsidRDefault="15A8E7FF"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 xml:space="preserve">9 93 14 </w:t>
            </w:r>
            <w:r w:rsidRPr="465A99C6">
              <w:rPr>
                <w:rFonts w:asciiTheme="minorHAnsi" w:hAnsiTheme="minorHAnsi"/>
                <w:snapToGrid w:val="0"/>
                <w:sz w:val="22"/>
                <w:szCs w:val="22"/>
              </w:rPr>
              <w:t>- Podpořená pracoviště zdravotní péče a ochrany veřejného zdraví,</w:t>
            </w:r>
          </w:p>
          <w:p w14:paraId="012EA816" w14:textId="33FF9B39" w:rsidR="7855FB04" w:rsidRPr="00DD3638" w:rsidRDefault="7855FB04" w:rsidP="62DAAA3C">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w:t>
            </w:r>
            <w:r w:rsidR="3C02F910" w:rsidRPr="465A99C6">
              <w:rPr>
                <w:rFonts w:asciiTheme="minorHAnsi" w:hAnsiTheme="minorHAnsi"/>
                <w:b/>
                <w:bCs/>
                <w:snapToGrid w:val="0"/>
                <w:sz w:val="22"/>
                <w:szCs w:val="22"/>
              </w:rPr>
              <w:t>9</w:t>
            </w:r>
            <w:r w:rsidRPr="465A99C6">
              <w:rPr>
                <w:rFonts w:asciiTheme="minorHAnsi" w:hAnsiTheme="minorHAnsi"/>
                <w:b/>
                <w:bCs/>
                <w:snapToGrid w:val="0"/>
                <w:sz w:val="22"/>
                <w:szCs w:val="22"/>
              </w:rPr>
              <w:t>308 (CV8)</w:t>
            </w:r>
            <w:r w:rsidRPr="62DAAA3C">
              <w:rPr>
                <w:rFonts w:asciiTheme="minorHAnsi" w:hAnsiTheme="minorHAnsi"/>
                <w:snapToGrid w:val="0"/>
                <w:sz w:val="22"/>
                <w:szCs w:val="22"/>
              </w:rPr>
              <w:t xml:space="preserve"> - Nově vytvořená lůžka pro pacienty s COVID</w:t>
            </w:r>
            <w:r w:rsidR="1B8A82EF" w:rsidRPr="465A99C6">
              <w:rPr>
                <w:rFonts w:asciiTheme="minorHAnsi" w:hAnsiTheme="minorHAnsi"/>
                <w:sz w:val="22"/>
                <w:szCs w:val="22"/>
              </w:rPr>
              <w:t>-</w:t>
            </w:r>
            <w:r w:rsidRPr="62DAAA3C">
              <w:rPr>
                <w:rFonts w:asciiTheme="minorHAnsi" w:hAnsiTheme="minorHAnsi"/>
                <w:snapToGrid w:val="0"/>
                <w:sz w:val="22"/>
                <w:szCs w:val="22"/>
              </w:rPr>
              <w:t>19,</w:t>
            </w:r>
          </w:p>
          <w:p w14:paraId="74609353" w14:textId="06E8D87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99302 (CV2)</w:t>
            </w:r>
            <w:r w:rsidRPr="465A99C6">
              <w:rPr>
                <w:rFonts w:asciiTheme="minorHAnsi" w:hAnsiTheme="minorHAnsi"/>
                <w:snapToGrid w:val="0"/>
                <w:sz w:val="22"/>
                <w:szCs w:val="22"/>
              </w:rPr>
              <w:t xml:space="preserve"> - Hodnota pořízené</w:t>
            </w:r>
            <w:r w:rsidR="00E7278D" w:rsidRPr="465A99C6">
              <w:rPr>
                <w:rFonts w:asciiTheme="minorHAnsi" w:hAnsiTheme="minorHAnsi"/>
                <w:snapToGrid w:val="0"/>
                <w:sz w:val="22"/>
                <w:szCs w:val="22"/>
              </w:rPr>
              <w:t>ho</w:t>
            </w:r>
            <w:r w:rsidRPr="465A99C6">
              <w:rPr>
                <w:rFonts w:asciiTheme="minorHAnsi" w:hAnsiTheme="minorHAnsi"/>
                <w:snapToGrid w:val="0"/>
                <w:sz w:val="22"/>
                <w:szCs w:val="22"/>
              </w:rPr>
              <w:t xml:space="preserve"> zdravotnického vybavení,</w:t>
            </w:r>
          </w:p>
          <w:p w14:paraId="1B04835F" w14:textId="7F5EF0A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99312 (CV12)</w:t>
            </w:r>
            <w:r w:rsidRPr="465A99C6">
              <w:rPr>
                <w:rFonts w:asciiTheme="minorHAnsi" w:hAnsiTheme="minorHAnsi"/>
                <w:snapToGrid w:val="0"/>
                <w:sz w:val="22"/>
                <w:szCs w:val="22"/>
              </w:rPr>
              <w:t xml:space="preserve"> - Počet hospitalizací s využitím kapacit či prostředků podpořených z IROP (REACT</w:t>
            </w:r>
            <w:r w:rsidR="29AA0C2D" w:rsidRPr="465A99C6">
              <w:rPr>
                <w:rFonts w:asciiTheme="minorHAnsi" w:hAnsiTheme="minorHAnsi"/>
                <w:snapToGrid w:val="0"/>
                <w:sz w:val="22"/>
                <w:szCs w:val="22"/>
              </w:rPr>
              <w:t xml:space="preserve"> EU</w:t>
            </w:r>
            <w:r w:rsidRPr="465A99C6">
              <w:rPr>
                <w:rFonts w:asciiTheme="minorHAnsi" w:hAnsiTheme="minorHAnsi"/>
                <w:snapToGrid w:val="0"/>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701"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941"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46DB8E91" w14:textId="77777777" w:rsidR="001D3103" w:rsidRDefault="00D96EF4" w:rsidP="5CE9D558">
            <w:pPr>
              <w:widowControl w:val="0"/>
              <w:spacing w:after="120"/>
              <w:jc w:val="both"/>
              <w:rPr>
                <w:rFonts w:asciiTheme="minorHAnsi" w:hAnsiTheme="minorHAnsi"/>
                <w:snapToGrid w:val="0"/>
                <w:sz w:val="22"/>
                <w:szCs w:val="22"/>
              </w:rPr>
            </w:pPr>
            <w:r w:rsidRPr="5CE9D558">
              <w:rPr>
                <w:rFonts w:asciiTheme="minorHAnsi" w:hAnsiTheme="minorHAnsi"/>
                <w:sz w:val="22"/>
                <w:szCs w:val="22"/>
              </w:rPr>
              <w:t>V případě nena</w:t>
            </w:r>
            <w:r w:rsidR="001D3103" w:rsidRPr="5CE9D558">
              <w:rPr>
                <w:rFonts w:asciiTheme="minorHAnsi" w:hAnsiTheme="minorHAnsi"/>
                <w:sz w:val="22"/>
                <w:szCs w:val="22"/>
              </w:rPr>
              <w:t>plnění cílové hodnoty indikátorů</w:t>
            </w:r>
            <w:r w:rsidRPr="5CE9D558">
              <w:rPr>
                <w:rFonts w:asciiTheme="minorHAnsi" w:hAnsiTheme="minorHAnsi"/>
                <w:snapToGrid w:val="0"/>
                <w:sz w:val="22"/>
                <w:szCs w:val="22"/>
              </w:rPr>
              <w:t xml:space="preserve"> </w:t>
            </w:r>
            <w:r w:rsidR="002D6758" w:rsidRPr="5CE9D558">
              <w:rPr>
                <w:rFonts w:asciiTheme="minorHAnsi" w:hAnsiTheme="minorHAnsi"/>
                <w:snapToGrid w:val="0"/>
                <w:sz w:val="22"/>
                <w:szCs w:val="22"/>
              </w:rPr>
              <w:t xml:space="preserve">I. a </w:t>
            </w:r>
            <w:r w:rsidRPr="5CE9D558">
              <w:rPr>
                <w:rFonts w:asciiTheme="minorHAnsi" w:hAnsiTheme="minorHAnsi"/>
                <w:snapToGrid w:val="0"/>
                <w:sz w:val="22"/>
                <w:szCs w:val="22"/>
              </w:rPr>
              <w:t>I</w:t>
            </w:r>
            <w:r w:rsidR="00092CC6" w:rsidRPr="5CE9D558">
              <w:rPr>
                <w:rFonts w:asciiTheme="minorHAnsi" w:hAnsiTheme="minorHAnsi"/>
                <w:snapToGrid w:val="0"/>
                <w:sz w:val="22"/>
                <w:szCs w:val="22"/>
              </w:rPr>
              <w:t>I</w:t>
            </w:r>
            <w:r w:rsidRPr="5CE9D558">
              <w:rPr>
                <w:rFonts w:asciiTheme="minorHAnsi" w:hAnsiTheme="minorHAnsi"/>
                <w:snapToGrid w:val="0"/>
                <w:sz w:val="22"/>
                <w:szCs w:val="22"/>
              </w:rPr>
              <w:t>.</w:t>
            </w:r>
            <w:r w:rsidR="001D3103" w:rsidRPr="5CE9D558">
              <w:rPr>
                <w:rFonts w:asciiTheme="minorHAnsi" w:hAnsiTheme="minorHAnsi"/>
                <w:snapToGrid w:val="0"/>
                <w:sz w:val="22"/>
                <w:szCs w:val="22"/>
              </w:rPr>
              <w:t xml:space="preserve"> </w:t>
            </w:r>
            <w:r w:rsidRPr="5CE9D558">
              <w:rPr>
                <w:rFonts w:asciiTheme="minorHAnsi" w:hAnsiTheme="minorHAnsi"/>
                <w:snapToGrid w:val="0"/>
                <w:sz w:val="22"/>
                <w:szCs w:val="22"/>
              </w:rPr>
              <w:t>na 100</w:t>
            </w:r>
            <w:r w:rsidR="00295710" w:rsidRPr="5CE9D558">
              <w:rPr>
                <w:rFonts w:asciiTheme="minorHAnsi" w:hAnsiTheme="minorHAnsi"/>
                <w:snapToGrid w:val="0"/>
                <w:sz w:val="22"/>
                <w:szCs w:val="22"/>
              </w:rPr>
              <w:t> </w:t>
            </w:r>
            <w:r w:rsidRPr="5CE9D558">
              <w:rPr>
                <w:rFonts w:asciiTheme="minorHAnsi" w:hAnsiTheme="minorHAnsi"/>
                <w:snapToGrid w:val="0"/>
                <w:sz w:val="22"/>
                <w:szCs w:val="22"/>
              </w:rPr>
              <w:t>% nebude dotace vyplacena.</w:t>
            </w:r>
          </w:p>
          <w:p w14:paraId="7E4D66A5" w14:textId="714B6188" w:rsidR="00F442BA" w:rsidRPr="009113E4"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Nenaplnění resp. překročení cílové hodnoty indikátor</w:t>
            </w:r>
            <w:r w:rsidR="11DCCE5A"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C84B667"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C84B667"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989712F" w14:textId="77777777" w:rsidTr="14CC4AD6">
        <w:trPr>
          <w:trHeight w:val="557"/>
        </w:trPr>
        <w:tc>
          <w:tcPr>
            <w:tcW w:w="994" w:type="dxa"/>
          </w:tcPr>
          <w:p w14:paraId="0F57406D"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9</w:t>
            </w:r>
            <w:r w:rsidR="00643E05">
              <w:rPr>
                <w:rFonts w:asciiTheme="minorHAnsi" w:hAnsiTheme="minorHAnsi"/>
                <w:sz w:val="22"/>
                <w:szCs w:val="22"/>
              </w:rPr>
              <w:t>.</w:t>
            </w:r>
          </w:p>
        </w:tc>
        <w:tc>
          <w:tcPr>
            <w:tcW w:w="3650" w:type="dxa"/>
          </w:tcPr>
          <w:p w14:paraId="52DC2764"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B58AF39" w14:textId="77777777" w:rsidTr="14CC4AD6">
        <w:trPr>
          <w:trHeight w:val="557"/>
        </w:trPr>
        <w:tc>
          <w:tcPr>
            <w:tcW w:w="994" w:type="dxa"/>
          </w:tcPr>
          <w:p w14:paraId="5F682803"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199AE3DD" w14:textId="77777777" w:rsidR="00624FEE" w:rsidRPr="00DD3638" w:rsidRDefault="00624FEE"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 xml:space="preserve">Příjemce je </w:t>
            </w:r>
            <w:r w:rsidR="00C44408" w:rsidRPr="00DD3638">
              <w:rPr>
                <w:rFonts w:asciiTheme="minorHAnsi" w:hAnsiTheme="minorHAnsi" w:cs="Arial"/>
                <w:sz w:val="22"/>
                <w:szCs w:val="22"/>
              </w:rPr>
              <w:t xml:space="preserve">povinen udržet indikátory </w:t>
            </w:r>
            <w:r w:rsidRPr="00DD3638">
              <w:rPr>
                <w:rFonts w:asciiTheme="minorHAnsi" w:hAnsiTheme="minorHAnsi" w:cs="Arial"/>
                <w:sz w:val="22"/>
                <w:szCs w:val="22"/>
              </w:rPr>
              <w:t>po dobu pěti let od poslední platby příjemci, pokud je to z hlediska charakteru projektu možné.</w:t>
            </w:r>
          </w:p>
          <w:p w14:paraId="75D2712E" w14:textId="77777777" w:rsidR="00FF0233" w:rsidRPr="00DD3638" w:rsidRDefault="00FF0233"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Indikátory:</w:t>
            </w:r>
          </w:p>
          <w:p w14:paraId="5E5E80C5" w14:textId="159808E9" w:rsidR="00F442BA"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 xml:space="preserve">9 93 14 </w:t>
            </w:r>
            <w:r w:rsidRPr="465A99C6">
              <w:rPr>
                <w:rFonts w:asciiTheme="minorHAnsi" w:hAnsiTheme="minorHAnsi" w:cs="Arial"/>
                <w:sz w:val="22"/>
                <w:szCs w:val="22"/>
              </w:rPr>
              <w:t>- Podpořená pracoviště zdravotní péče a ochrany veřejného zdraví,</w:t>
            </w:r>
          </w:p>
          <w:p w14:paraId="74B5A51F" w14:textId="55AE1BB8" w:rsidR="6BBB4F43" w:rsidRPr="00DD3638" w:rsidRDefault="6BBB4F43" w:rsidP="62DAAA3C">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w:t>
            </w:r>
            <w:r w:rsidR="31FB21AA" w:rsidRPr="465A99C6">
              <w:rPr>
                <w:rFonts w:asciiTheme="minorHAnsi" w:hAnsiTheme="minorHAnsi" w:cs="Arial"/>
                <w:b/>
                <w:bCs/>
                <w:sz w:val="22"/>
                <w:szCs w:val="22"/>
              </w:rPr>
              <w:t>9</w:t>
            </w:r>
            <w:r w:rsidRPr="465A99C6">
              <w:rPr>
                <w:rFonts w:asciiTheme="minorHAnsi" w:hAnsiTheme="minorHAnsi" w:cs="Arial"/>
                <w:b/>
                <w:bCs/>
                <w:sz w:val="22"/>
                <w:szCs w:val="22"/>
              </w:rPr>
              <w:t>308 (CV8)</w:t>
            </w:r>
            <w:r w:rsidRPr="465A99C6">
              <w:rPr>
                <w:rFonts w:asciiTheme="minorHAnsi" w:hAnsiTheme="minorHAnsi" w:cs="Arial"/>
                <w:sz w:val="22"/>
                <w:szCs w:val="22"/>
              </w:rPr>
              <w:t xml:space="preserve"> - Nově vytvořená lůžka pro pacienty s COVID</w:t>
            </w:r>
            <w:r w:rsidR="2F699A3E" w:rsidRPr="465A99C6">
              <w:rPr>
                <w:rFonts w:asciiTheme="minorHAnsi" w:hAnsiTheme="minorHAnsi" w:cs="Arial"/>
                <w:sz w:val="22"/>
                <w:szCs w:val="22"/>
              </w:rPr>
              <w:t>-</w:t>
            </w:r>
            <w:r w:rsidRPr="465A99C6">
              <w:rPr>
                <w:rFonts w:asciiTheme="minorHAnsi" w:hAnsiTheme="minorHAnsi" w:cs="Arial"/>
                <w:sz w:val="22"/>
                <w:szCs w:val="22"/>
              </w:rPr>
              <w:t>19,</w:t>
            </w:r>
          </w:p>
          <w:p w14:paraId="18B88BB5" w14:textId="42EFC99C"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99302 (CV2)</w:t>
            </w:r>
            <w:r w:rsidRPr="465A99C6">
              <w:rPr>
                <w:rFonts w:asciiTheme="minorHAnsi" w:hAnsiTheme="minorHAnsi" w:cs="Arial"/>
                <w:sz w:val="22"/>
                <w:szCs w:val="22"/>
              </w:rPr>
              <w:t xml:space="preserve"> - Hodnota pořízené</w:t>
            </w:r>
            <w:r w:rsidR="00E7278D" w:rsidRPr="465A99C6">
              <w:rPr>
                <w:rFonts w:asciiTheme="minorHAnsi" w:hAnsiTheme="minorHAnsi" w:cs="Arial"/>
                <w:sz w:val="22"/>
                <w:szCs w:val="22"/>
              </w:rPr>
              <w:t>ho</w:t>
            </w:r>
            <w:r w:rsidRPr="465A99C6">
              <w:rPr>
                <w:rFonts w:asciiTheme="minorHAnsi" w:hAnsiTheme="minorHAnsi" w:cs="Arial"/>
                <w:sz w:val="22"/>
                <w:szCs w:val="22"/>
              </w:rPr>
              <w:t xml:space="preserve"> zdravotnického vybavení,</w:t>
            </w:r>
          </w:p>
          <w:p w14:paraId="3BD92ECE" w14:textId="31E73523"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5E75D48">
              <w:rPr>
                <w:rFonts w:asciiTheme="minorHAnsi" w:hAnsiTheme="minorHAnsi" w:cs="Arial"/>
                <w:b/>
                <w:bCs/>
                <w:sz w:val="22"/>
                <w:szCs w:val="22"/>
              </w:rPr>
              <w:t>99312 (CV12)</w:t>
            </w:r>
            <w:r w:rsidRPr="45E75D48">
              <w:rPr>
                <w:rFonts w:asciiTheme="minorHAnsi" w:hAnsiTheme="minorHAnsi" w:cs="Arial"/>
                <w:sz w:val="22"/>
                <w:szCs w:val="22"/>
              </w:rPr>
              <w:t xml:space="preserve"> - Počet hospitalizací s využitím kapacit či prostředků podpořených z IROP (REACT</w:t>
            </w:r>
            <w:r w:rsidR="6040CB7C" w:rsidRPr="45E75D48">
              <w:rPr>
                <w:rFonts w:asciiTheme="minorHAnsi" w:hAnsiTheme="minorHAnsi" w:cs="Arial"/>
                <w:sz w:val="22"/>
                <w:szCs w:val="22"/>
              </w:rPr>
              <w:t xml:space="preserve"> EU</w:t>
            </w:r>
            <w:r w:rsidRPr="45E75D48">
              <w:rPr>
                <w:rFonts w:asciiTheme="minorHAnsi" w:hAnsiTheme="minorHAnsi" w:cs="Arial"/>
                <w:sz w:val="22"/>
                <w:szCs w:val="22"/>
              </w:rPr>
              <w:t>),</w:t>
            </w:r>
          </w:p>
          <w:p w14:paraId="61031337" w14:textId="77777777"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90DFD9A" w14:textId="77777777" w:rsidR="001D3103" w:rsidRDefault="007E0DAD" w:rsidP="5CE9D558">
            <w:pPr>
              <w:pStyle w:val="Default"/>
              <w:spacing w:after="120"/>
              <w:jc w:val="both"/>
              <w:rPr>
                <w:rFonts w:asciiTheme="minorHAnsi" w:hAnsiTheme="minorHAnsi"/>
                <w:sz w:val="22"/>
                <w:szCs w:val="22"/>
              </w:rPr>
            </w:pPr>
            <w:r w:rsidRPr="5CE9D558">
              <w:rPr>
                <w:rFonts w:asciiTheme="minorHAnsi" w:hAnsiTheme="minorHAnsi"/>
                <w:sz w:val="22"/>
                <w:szCs w:val="22"/>
              </w:rPr>
              <w:t>V případě neu</w:t>
            </w:r>
            <w:r w:rsidR="001D3103" w:rsidRPr="5CE9D558">
              <w:rPr>
                <w:rFonts w:asciiTheme="minorHAnsi" w:hAnsiTheme="minorHAnsi"/>
                <w:sz w:val="22"/>
                <w:szCs w:val="22"/>
              </w:rPr>
              <w:t>držení cílové hodnoty indikátorů</w:t>
            </w:r>
            <w:r w:rsidR="002D6758" w:rsidRPr="5CE9D558">
              <w:rPr>
                <w:rFonts w:asciiTheme="minorHAnsi" w:hAnsiTheme="minorHAnsi"/>
                <w:sz w:val="22"/>
                <w:szCs w:val="22"/>
              </w:rPr>
              <w:t xml:space="preserve"> I. a</w:t>
            </w:r>
            <w:r w:rsidRPr="5CE9D558">
              <w:rPr>
                <w:rFonts w:asciiTheme="minorHAnsi" w:hAnsiTheme="minorHAnsi"/>
                <w:sz w:val="22"/>
                <w:szCs w:val="22"/>
              </w:rPr>
              <w:t xml:space="preserve"> </w:t>
            </w:r>
            <w:r w:rsidR="00CD2F8A" w:rsidRPr="5CE9D558">
              <w:rPr>
                <w:rFonts w:asciiTheme="minorHAnsi" w:hAnsiTheme="minorHAnsi"/>
                <w:sz w:val="22"/>
                <w:szCs w:val="22"/>
              </w:rPr>
              <w:t>I</w:t>
            </w:r>
            <w:r w:rsidR="00092CC6" w:rsidRPr="5CE9D558">
              <w:rPr>
                <w:rFonts w:asciiTheme="minorHAnsi" w:hAnsiTheme="minorHAnsi"/>
                <w:sz w:val="22"/>
                <w:szCs w:val="22"/>
              </w:rPr>
              <w:t>I</w:t>
            </w:r>
            <w:r w:rsidR="00CD2F8A" w:rsidRPr="5CE9D558">
              <w:rPr>
                <w:rFonts w:asciiTheme="minorHAnsi" w:hAnsiTheme="minorHAnsi"/>
                <w:sz w:val="22"/>
                <w:szCs w:val="22"/>
              </w:rPr>
              <w:t xml:space="preserve">. </w:t>
            </w:r>
            <w:r w:rsidRPr="5CE9D558">
              <w:rPr>
                <w:rFonts w:asciiTheme="minorHAnsi" w:hAnsiTheme="minorHAnsi"/>
                <w:sz w:val="22"/>
                <w:szCs w:val="22"/>
              </w:rPr>
              <w:t>na 100</w:t>
            </w:r>
            <w:r w:rsidR="00295710" w:rsidRPr="5CE9D558">
              <w:rPr>
                <w:rFonts w:asciiTheme="minorHAnsi" w:hAnsiTheme="minorHAnsi"/>
                <w:sz w:val="22"/>
                <w:szCs w:val="22"/>
              </w:rPr>
              <w:t> </w:t>
            </w:r>
            <w:r w:rsidRPr="5CE9D558">
              <w:rPr>
                <w:rFonts w:asciiTheme="minorHAnsi" w:hAnsiTheme="minorHAnsi"/>
                <w:sz w:val="22"/>
                <w:szCs w:val="22"/>
              </w:rPr>
              <w:t>%, bude vrácena celková částka vyplacené dotace</w:t>
            </w:r>
            <w:r w:rsidR="009113E4" w:rsidRPr="5CE9D558">
              <w:rPr>
                <w:rFonts w:asciiTheme="minorHAnsi" w:hAnsiTheme="minorHAnsi"/>
                <w:sz w:val="22"/>
                <w:szCs w:val="22"/>
              </w:rPr>
              <w:t>.</w:t>
            </w:r>
          </w:p>
          <w:p w14:paraId="6E936707" w14:textId="7AC0B257" w:rsidR="00F442BA" w:rsidRPr="009F796B"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Neudržení cílové hodnoty indikátor</w:t>
            </w:r>
            <w:r w:rsidR="05F0C46C"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93A646C"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93A646C"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0B7C633" w14:textId="77777777" w:rsidTr="14CC4AD6">
        <w:trPr>
          <w:trHeight w:val="410"/>
        </w:trPr>
        <w:tc>
          <w:tcPr>
            <w:tcW w:w="994" w:type="dxa"/>
          </w:tcPr>
          <w:p w14:paraId="6B7135B9"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60209D99"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0F2480FC" w:rsidR="00643E05" w:rsidRPr="00E76D3B" w:rsidRDefault="00643E05" w:rsidP="007C6AB8">
            <w:pPr>
              <w:spacing w:after="120"/>
              <w:jc w:val="both"/>
            </w:pPr>
            <w:r w:rsidRPr="5CE9D558">
              <w:rPr>
                <w:rFonts w:asciiTheme="minorHAnsi" w:hAnsiTheme="minorHAnsi"/>
                <w:sz w:val="22"/>
                <w:szCs w:val="22"/>
              </w:rPr>
              <w:t>Vyzvání k nápravě v dodatečné lhůtě – podle odst. 1, §14f z</w:t>
            </w:r>
            <w:r w:rsidR="007C6AB8" w:rsidRPr="5CE9D558">
              <w:rPr>
                <w:rFonts w:asciiTheme="minorHAnsi" w:hAnsiTheme="minorHAnsi"/>
                <w:sz w:val="22"/>
                <w:szCs w:val="22"/>
              </w:rPr>
              <w:t>ákona č</w:t>
            </w:r>
            <w:r w:rsidRPr="5CE9D558">
              <w:rPr>
                <w:rFonts w:asciiTheme="minorHAnsi" w:hAnsiTheme="minorHAnsi"/>
                <w:sz w:val="22"/>
                <w:szCs w:val="22"/>
              </w:rPr>
              <w:t>. 218/2000 Sb., o rozpočtových pravidlech</w:t>
            </w:r>
            <w:r w:rsidR="4FF22E25" w:rsidRPr="5CE9D558">
              <w:rPr>
                <w:rFonts w:asciiTheme="minorHAnsi" w:hAnsiTheme="minorHAnsi"/>
                <w:sz w:val="22"/>
                <w:szCs w:val="22"/>
              </w:rPr>
              <w:t>, ve znění pozdějších předpisů</w:t>
            </w:r>
            <w:r w:rsidRPr="5CE9D558">
              <w:rPr>
                <w:rFonts w:asciiTheme="minorHAnsi" w:hAnsiTheme="minorHAnsi"/>
                <w:sz w:val="22"/>
                <w:szCs w:val="22"/>
              </w:rPr>
              <w:t>.</w:t>
            </w:r>
          </w:p>
        </w:tc>
        <w:tc>
          <w:tcPr>
            <w:tcW w:w="2941" w:type="dxa"/>
          </w:tcPr>
          <w:p w14:paraId="28F12E00"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51C4D968" w14:textId="77777777" w:rsidTr="14CC4AD6">
        <w:trPr>
          <w:trHeight w:val="410"/>
        </w:trPr>
        <w:tc>
          <w:tcPr>
            <w:tcW w:w="994" w:type="dxa"/>
            <w:vMerge w:val="restart"/>
          </w:tcPr>
          <w:p w14:paraId="6D6998CD"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44E871BC" w14:textId="77777777" w:rsidR="00B331BD" w:rsidRPr="00E76D3B" w:rsidRDefault="00B331BD">
            <w:pPr>
              <w:spacing w:after="120"/>
              <w:rPr>
                <w:rFonts w:asciiTheme="minorHAnsi" w:hAnsiTheme="minorHAnsi"/>
                <w:sz w:val="22"/>
                <w:szCs w:val="22"/>
              </w:rPr>
            </w:pPr>
          </w:p>
        </w:tc>
        <w:tc>
          <w:tcPr>
            <w:tcW w:w="3650" w:type="dxa"/>
          </w:tcPr>
          <w:p w14:paraId="63F933E7"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E76D3B" w:rsidRDefault="00B331BD">
            <w:pPr>
              <w:spacing w:after="120"/>
              <w:jc w:val="both"/>
            </w:pPr>
          </w:p>
        </w:tc>
        <w:tc>
          <w:tcPr>
            <w:tcW w:w="2941" w:type="dxa"/>
          </w:tcPr>
          <w:p w14:paraId="738610EB" w14:textId="77777777" w:rsidR="00B331BD" w:rsidRPr="00E76D3B" w:rsidRDefault="00B331BD">
            <w:pPr>
              <w:widowControl w:val="0"/>
              <w:spacing w:after="120"/>
              <w:jc w:val="both"/>
              <w:rPr>
                <w:snapToGrid w:val="0"/>
              </w:rPr>
            </w:pPr>
          </w:p>
        </w:tc>
      </w:tr>
      <w:tr w:rsidR="00B331BD" w:rsidRPr="00E76D3B" w14:paraId="3A00BCFB" w14:textId="77777777" w:rsidTr="14CC4AD6">
        <w:trPr>
          <w:trHeight w:val="720"/>
        </w:trPr>
        <w:tc>
          <w:tcPr>
            <w:tcW w:w="994" w:type="dxa"/>
            <w:vMerge/>
          </w:tcPr>
          <w:p w14:paraId="637805D2" w14:textId="77777777" w:rsidR="00B331BD" w:rsidRPr="00E76D3B" w:rsidRDefault="00B331BD">
            <w:pPr>
              <w:spacing w:after="120"/>
              <w:rPr>
                <w:rFonts w:asciiTheme="minorHAnsi" w:hAnsiTheme="minorHAnsi"/>
                <w:sz w:val="22"/>
                <w:szCs w:val="22"/>
              </w:rPr>
            </w:pPr>
          </w:p>
        </w:tc>
        <w:tc>
          <w:tcPr>
            <w:tcW w:w="3650" w:type="dxa"/>
          </w:tcPr>
          <w:p w14:paraId="78963F77" w14:textId="77777777" w:rsidR="00B331BD" w:rsidRPr="00E76D3B" w:rsidRDefault="00B331BD">
            <w:pPr>
              <w:pStyle w:val="Odstavecseseznamem"/>
              <w:numPr>
                <w:ilvl w:val="0"/>
                <w:numId w:val="10"/>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59590A00"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72330182" w14:textId="77777777" w:rsidTr="14CC4AD6">
        <w:trPr>
          <w:trHeight w:val="1174"/>
        </w:trPr>
        <w:tc>
          <w:tcPr>
            <w:tcW w:w="994" w:type="dxa"/>
            <w:vMerge/>
          </w:tcPr>
          <w:p w14:paraId="463F29E8" w14:textId="77777777" w:rsidR="00B331BD" w:rsidRPr="00E76D3B" w:rsidRDefault="00B331BD">
            <w:pPr>
              <w:spacing w:after="120"/>
              <w:rPr>
                <w:rFonts w:asciiTheme="minorHAnsi" w:hAnsiTheme="minorHAnsi"/>
                <w:sz w:val="22"/>
                <w:szCs w:val="22"/>
              </w:rPr>
            </w:pPr>
          </w:p>
        </w:tc>
        <w:tc>
          <w:tcPr>
            <w:tcW w:w="3650" w:type="dxa"/>
          </w:tcPr>
          <w:p w14:paraId="5895263B" w14:textId="77777777" w:rsidR="00DE695E" w:rsidRPr="009E165A" w:rsidRDefault="00643E05">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w:t>
            </w:r>
            <w:r w:rsidR="00B331BD" w:rsidRPr="009E165A">
              <w:rPr>
                <w:rFonts w:asciiTheme="minorHAnsi" w:hAnsiTheme="minorHAnsi" w:cstheme="minorHAnsi"/>
                <w:sz w:val="22"/>
                <w:szCs w:val="22"/>
                <w:lang w:eastAsia="ar-SA"/>
              </w:rPr>
              <w:t xml:space="preserve"> zatížit jinými věcnými právy třetích osob</w:t>
            </w:r>
            <w:r w:rsidR="004656BC" w:rsidRPr="009E165A">
              <w:rPr>
                <w:rFonts w:asciiTheme="minorHAnsi" w:hAnsiTheme="minorHAnsi" w:cstheme="minorHAnsi"/>
                <w:sz w:val="22"/>
                <w:szCs w:val="22"/>
                <w:lang w:eastAsia="ar-SA"/>
              </w:rPr>
              <w:t xml:space="preserve"> (služebnosti/reálná břemena)</w:t>
            </w:r>
            <w:r w:rsidRPr="009E165A">
              <w:rPr>
                <w:rFonts w:asciiTheme="minorHAnsi" w:hAnsiTheme="minorHAnsi" w:cstheme="minorHAnsi"/>
                <w:sz w:val="22"/>
                <w:szCs w:val="22"/>
                <w:lang w:eastAsia="ar-SA"/>
              </w:rPr>
              <w:t xml:space="preserve">, nebo zřídit </w:t>
            </w:r>
            <w:r w:rsidRPr="009E165A">
              <w:rPr>
                <w:rFonts w:asciiTheme="minorHAnsi" w:hAnsiTheme="minorHAnsi" w:cstheme="minorHAnsi"/>
                <w:sz w:val="22"/>
                <w:szCs w:val="22"/>
                <w:lang w:eastAsia="ar-SA"/>
              </w:rPr>
              <w:lastRenderedPageBreak/>
              <w:t>zástavní právo, s výjimkou zástavního práva k zajištění úvěru na financování projektu rámcově identifikovaného v části II v bodu 1</w:t>
            </w:r>
            <w:r w:rsidR="00BB60B0" w:rsidRPr="009E165A">
              <w:rPr>
                <w:rFonts w:asciiTheme="minorHAnsi" w:hAnsiTheme="minorHAnsi" w:cstheme="minorHAnsi"/>
                <w:sz w:val="22"/>
                <w:szCs w:val="22"/>
                <w:lang w:eastAsia="ar-SA"/>
              </w:rPr>
              <w:t>,</w:t>
            </w:r>
          </w:p>
          <w:p w14:paraId="2A5512EF" w14:textId="77777777" w:rsidR="00DE695E"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5E7594" w:rsidRPr="009E165A">
              <w:rPr>
                <w:rFonts w:asciiTheme="minorHAnsi" w:hAnsiTheme="minorHAnsi" w:cstheme="minorHAnsi"/>
                <w:sz w:val="22"/>
                <w:szCs w:val="22"/>
                <w:lang w:eastAsia="ar-SA"/>
              </w:rPr>
              <w:t xml:space="preserve">okud k tomu </w:t>
            </w:r>
            <w:r w:rsidR="00C44408" w:rsidRPr="009E165A">
              <w:rPr>
                <w:rFonts w:asciiTheme="minorHAnsi" w:hAnsiTheme="minorHAnsi" w:cstheme="minorHAnsi"/>
                <w:sz w:val="22"/>
                <w:szCs w:val="22"/>
                <w:lang w:eastAsia="ar-SA"/>
              </w:rPr>
              <w:t>dochází ze </w:t>
            </w:r>
            <w:r w:rsidR="00DE695E" w:rsidRPr="009E165A">
              <w:rPr>
                <w:rFonts w:asciiTheme="minorHAnsi" w:hAnsiTheme="minorHAnsi" w:cstheme="minorHAnsi"/>
                <w:sz w:val="22"/>
                <w:szCs w:val="22"/>
                <w:lang w:eastAsia="ar-SA"/>
              </w:rPr>
              <w:t>zákona.</w:t>
            </w:r>
            <w:r w:rsidR="00161A32" w:rsidRPr="009E165A">
              <w:rPr>
                <w:rFonts w:asciiTheme="minorHAnsi" w:hAnsiTheme="minorHAnsi" w:cstheme="minorHAnsi"/>
                <w:sz w:val="22"/>
                <w:szCs w:val="22"/>
                <w:lang w:eastAsia="ar-SA"/>
              </w:rPr>
              <w:t xml:space="preserve"> Pozdní oznámení nebude postihnuto sankcí</w:t>
            </w:r>
            <w:r w:rsidRPr="009E165A">
              <w:rPr>
                <w:rFonts w:asciiTheme="minorHAnsi" w:hAnsiTheme="minorHAnsi" w:cstheme="minorHAnsi"/>
                <w:sz w:val="22"/>
                <w:szCs w:val="22"/>
                <w:lang w:eastAsia="ar-SA"/>
              </w:rPr>
              <w:t>,</w:t>
            </w:r>
          </w:p>
          <w:p w14:paraId="75D72847" w14:textId="3E6E26BE" w:rsidR="00B331BD"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DE695E" w:rsidRPr="009E165A">
              <w:rPr>
                <w:rFonts w:asciiTheme="minorHAnsi" w:hAnsiTheme="minorHAnsi" w:cstheme="minorHAnsi"/>
                <w:sz w:val="22"/>
                <w:szCs w:val="22"/>
                <w:lang w:eastAsia="ar-SA"/>
              </w:rPr>
              <w:t xml:space="preserve">okud k tomu </w:t>
            </w:r>
            <w:r w:rsidR="005E7594" w:rsidRPr="009E165A">
              <w:rPr>
                <w:rFonts w:asciiTheme="minorHAnsi" w:hAnsiTheme="minorHAnsi" w:cstheme="minorHAnsi"/>
                <w:sz w:val="22"/>
                <w:szCs w:val="22"/>
                <w:lang w:eastAsia="ar-SA"/>
              </w:rPr>
              <w:t>nedochází ze</w:t>
            </w:r>
            <w:r w:rsidR="00C44408" w:rsidRPr="009E165A">
              <w:rPr>
                <w:rFonts w:asciiTheme="minorHAnsi" w:hAnsiTheme="minorHAnsi" w:cstheme="minorHAnsi"/>
                <w:sz w:val="22"/>
                <w:szCs w:val="22"/>
                <w:lang w:eastAsia="ar-SA"/>
              </w:rPr>
              <w:t> </w:t>
            </w:r>
            <w:r w:rsidR="005E7594" w:rsidRPr="009E165A">
              <w:rPr>
                <w:rFonts w:asciiTheme="minorHAnsi" w:hAnsiTheme="minorHAnsi" w:cstheme="minorHAnsi"/>
                <w:sz w:val="22"/>
                <w:szCs w:val="22"/>
                <w:lang w:eastAsia="ar-SA"/>
              </w:rPr>
              <w:t>zákona</w:t>
            </w:r>
            <w:r w:rsidR="00DD3638" w:rsidRPr="009E165A">
              <w:rPr>
                <w:rFonts w:asciiTheme="minorHAnsi" w:hAnsiTheme="minorHAnsi" w:cstheme="minorHAnsi"/>
                <w:sz w:val="22"/>
                <w:szCs w:val="22"/>
                <w:lang w:eastAsia="ar-SA"/>
              </w:rPr>
              <w:t>.</w:t>
            </w:r>
          </w:p>
        </w:tc>
        <w:tc>
          <w:tcPr>
            <w:tcW w:w="1701" w:type="dxa"/>
          </w:tcPr>
          <w:p w14:paraId="77A2BF95"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1CBFDCF9"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789E37D8" w14:textId="77777777" w:rsidTr="14CC4AD6">
        <w:trPr>
          <w:trHeight w:val="1119"/>
        </w:trPr>
        <w:tc>
          <w:tcPr>
            <w:tcW w:w="994" w:type="dxa"/>
            <w:vMerge/>
          </w:tcPr>
          <w:p w14:paraId="3B7B4B86" w14:textId="77777777" w:rsidR="00B331BD" w:rsidRPr="00E76D3B" w:rsidRDefault="00B331BD">
            <w:pPr>
              <w:spacing w:after="120"/>
              <w:rPr>
                <w:rFonts w:asciiTheme="minorHAnsi" w:hAnsiTheme="minorHAnsi"/>
                <w:sz w:val="22"/>
                <w:szCs w:val="22"/>
              </w:rPr>
            </w:pPr>
          </w:p>
        </w:tc>
        <w:tc>
          <w:tcPr>
            <w:tcW w:w="3650" w:type="dxa"/>
          </w:tcPr>
          <w:p w14:paraId="53B793B1" w14:textId="77777777" w:rsidR="00B331BD" w:rsidRPr="009E165A" w:rsidRDefault="00B331BD">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 vypůjčit nebo pronajmout jinému subjektu</w:t>
            </w:r>
            <w:r w:rsidR="00C44408" w:rsidRPr="009E165A">
              <w:rPr>
                <w:rFonts w:asciiTheme="minorHAnsi" w:hAnsiTheme="minorHAnsi" w:cstheme="minorHAnsi"/>
                <w:sz w:val="22"/>
                <w:szCs w:val="22"/>
                <w:lang w:eastAsia="ar-SA"/>
              </w:rPr>
              <w:t>. Nejedná se o </w:t>
            </w:r>
            <w:r w:rsidR="001B59BD" w:rsidRPr="009E165A">
              <w:rPr>
                <w:rFonts w:asciiTheme="minorHAnsi" w:hAnsiTheme="minorHAnsi" w:cstheme="minorHAnsi"/>
                <w:sz w:val="22"/>
                <w:szCs w:val="22"/>
                <w:lang w:eastAsia="ar-SA"/>
              </w:rPr>
              <w:t>krátkodobý pronájem.</w:t>
            </w:r>
          </w:p>
        </w:tc>
        <w:tc>
          <w:tcPr>
            <w:tcW w:w="1701" w:type="dxa"/>
          </w:tcPr>
          <w:p w14:paraId="52D70466"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F7EED94"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577D376A" w14:textId="77777777" w:rsidTr="14CC4AD6">
        <w:trPr>
          <w:trHeight w:val="1949"/>
        </w:trPr>
        <w:tc>
          <w:tcPr>
            <w:tcW w:w="994" w:type="dxa"/>
          </w:tcPr>
          <w:p w14:paraId="43ACE903"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3C2C9A3C" w14:textId="39542B33"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w:t>
            </w:r>
            <w:r w:rsidR="00E7278D">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Rozhodnutí</w:t>
            </w:r>
            <w:r w:rsidR="00E7278D">
              <w:rPr>
                <w:rFonts w:asciiTheme="minorHAnsi" w:hAnsiTheme="minorHAnsi" w:cstheme="minorHAnsi"/>
                <w:sz w:val="22"/>
                <w:szCs w:val="22"/>
                <w:lang w:eastAsia="ar-SA"/>
              </w:rPr>
              <w:t>,</w:t>
            </w:r>
            <w:r w:rsidRPr="00E76D3B">
              <w:rPr>
                <w:rFonts w:asciiTheme="minorHAnsi" w:hAnsiTheme="minorHAnsi" w:cstheme="minorHAnsi"/>
                <w:sz w:val="22"/>
                <w:szCs w:val="22"/>
                <w:lang w:eastAsia="ar-SA"/>
              </w:rPr>
              <w:t xml:space="preserve">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27C562AC"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D096CD0" w14:textId="22060699" w:rsidR="00DB1707" w:rsidRPr="00E76D3B" w:rsidRDefault="00DB1707" w:rsidP="00A24EB0">
            <w:pPr>
              <w:widowControl w:val="0"/>
              <w:spacing w:after="120"/>
              <w:jc w:val="both"/>
            </w:pPr>
            <w:r w:rsidRPr="5CE9D558">
              <w:rPr>
                <w:rFonts w:asciiTheme="minorHAnsi" w:hAnsiTheme="minorHAnsi"/>
                <w:snapToGrid w:val="0"/>
                <w:sz w:val="22"/>
                <w:szCs w:val="22"/>
              </w:rPr>
              <w:t xml:space="preserve">Při nedodržení postupu podle </w:t>
            </w:r>
            <w:r w:rsidRPr="5CE9D558">
              <w:rPr>
                <w:rFonts w:asciiTheme="minorHAnsi" w:hAnsiTheme="minorHAnsi" w:cstheme="minorBidi"/>
                <w:sz w:val="22"/>
                <w:szCs w:val="22"/>
                <w:lang w:eastAsia="ar-SA"/>
              </w:rPr>
              <w:t xml:space="preserve">§14a </w:t>
            </w:r>
            <w:r w:rsidR="004534D7" w:rsidRPr="5CE9D558">
              <w:rPr>
                <w:rFonts w:asciiTheme="minorHAnsi" w:hAnsiTheme="minorHAnsi"/>
                <w:snapToGrid w:val="0"/>
                <w:sz w:val="22"/>
                <w:szCs w:val="22"/>
              </w:rPr>
              <w:t>zákona č. 218/2000 Sb., o </w:t>
            </w:r>
            <w:r w:rsidRPr="5CE9D558">
              <w:rPr>
                <w:rFonts w:asciiTheme="minorHAnsi" w:hAnsiTheme="minorHAnsi"/>
                <w:snapToGrid w:val="0"/>
                <w:sz w:val="22"/>
                <w:szCs w:val="22"/>
              </w:rPr>
              <w:t>rozpočtových pravidlech</w:t>
            </w:r>
            <w:r w:rsidR="6C4E9BF5" w:rsidRPr="5CE9D558">
              <w:rPr>
                <w:rFonts w:asciiTheme="minorHAnsi" w:hAnsiTheme="minorHAnsi"/>
                <w:snapToGrid w:val="0"/>
                <w:sz w:val="22"/>
                <w:szCs w:val="22"/>
              </w:rPr>
              <w:t>, ve znění pozdějších předpisů,</w:t>
            </w:r>
            <w:r w:rsidRPr="5CE9D558">
              <w:rPr>
                <w:rFonts w:asciiTheme="minorHAnsi" w:hAnsiTheme="minorHAnsi"/>
                <w:snapToGrid w:val="0"/>
                <w:sz w:val="22"/>
                <w:szCs w:val="22"/>
              </w:rPr>
              <w:t xml:space="preserve"> </w:t>
            </w:r>
            <w:r w:rsidR="00A24EB0" w:rsidRPr="5CE9D558">
              <w:rPr>
                <w:rFonts w:asciiTheme="minorHAnsi" w:hAnsiTheme="minorHAnsi"/>
                <w:snapToGrid w:val="0"/>
                <w:sz w:val="22"/>
                <w:szCs w:val="22"/>
              </w:rPr>
              <w:t xml:space="preserve">nebude </w:t>
            </w:r>
            <w:r w:rsidRPr="5CE9D558">
              <w:rPr>
                <w:rFonts w:asciiTheme="minorHAnsi" w:hAnsiTheme="minorHAnsi"/>
                <w:snapToGrid w:val="0"/>
                <w:sz w:val="22"/>
                <w:szCs w:val="22"/>
              </w:rPr>
              <w:t>dotace vyplacena</w:t>
            </w:r>
            <w:r w:rsidR="00A24EB0" w:rsidRPr="5CE9D558">
              <w:rPr>
                <w:rFonts w:asciiTheme="minorHAnsi" w:hAnsiTheme="minorHAnsi"/>
                <w:snapToGrid w:val="0"/>
                <w:sz w:val="22"/>
                <w:szCs w:val="22"/>
              </w:rPr>
              <w:t xml:space="preserve"> a v případě již proplacených peněžních prostředků bude vrácena celková částka vyplacené dotace</w:t>
            </w:r>
            <w:r w:rsidRPr="5CE9D558">
              <w:rPr>
                <w:rFonts w:asciiTheme="minorHAnsi" w:hAnsiTheme="minorHAnsi"/>
                <w:snapToGrid w:val="0"/>
                <w:sz w:val="22"/>
                <w:szCs w:val="22"/>
              </w:rPr>
              <w:t>.</w:t>
            </w:r>
          </w:p>
        </w:tc>
      </w:tr>
      <w:tr w:rsidR="00DB1707" w:rsidRPr="00E76D3B" w14:paraId="5E10E858" w14:textId="77777777" w:rsidTr="14CC4AD6">
        <w:trPr>
          <w:trHeight w:val="693"/>
        </w:trPr>
        <w:tc>
          <w:tcPr>
            <w:tcW w:w="994" w:type="dxa"/>
          </w:tcPr>
          <w:p w14:paraId="64FED937"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941"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14CC4AD6">
        <w:tc>
          <w:tcPr>
            <w:tcW w:w="994" w:type="dxa"/>
          </w:tcPr>
          <w:p w14:paraId="00F6DC0A"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 xml:space="preserve">nápravě v dodatečné lhůtě – podle </w:t>
            </w:r>
            <w:r w:rsidRPr="5CE9D558">
              <w:rPr>
                <w:rFonts w:asciiTheme="minorHAnsi" w:hAnsiTheme="minorHAnsi" w:cstheme="minorBidi"/>
                <w:sz w:val="22"/>
                <w:szCs w:val="22"/>
                <w:lang w:eastAsia="ar-SA"/>
              </w:rPr>
              <w:lastRenderedPageBreak/>
              <w:t>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941" w:type="dxa"/>
          </w:tcPr>
          <w:p w14:paraId="6FB254BB" w14:textId="77777777"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lastRenderedPageBreak/>
              <w:t>V případě neprovedení opatření k nápravě ve 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xml:space="preserve">% schválené </w:t>
            </w:r>
            <w:r w:rsidR="00F271BA" w:rsidRPr="5CE9D558">
              <w:rPr>
                <w:rFonts w:asciiTheme="minorHAnsi" w:hAnsiTheme="minorHAnsi"/>
                <w:snapToGrid w:val="0"/>
                <w:sz w:val="22"/>
                <w:szCs w:val="22"/>
              </w:rPr>
              <w:lastRenderedPageBreak/>
              <w:t>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94330" w:rsidRPr="5CE9D558">
              <w:rPr>
                <w:rFonts w:asciiTheme="minorHAnsi" w:hAnsiTheme="minorHAnsi"/>
                <w:snapToGrid w:val="0"/>
                <w:sz w:val="22"/>
                <w:szCs w:val="22"/>
              </w:rPr>
              <w:t>o 10 000,- Kč.</w:t>
            </w:r>
          </w:p>
        </w:tc>
      </w:tr>
      <w:tr w:rsidR="00F271BA" w:rsidRPr="00E76D3B" w14:paraId="780881C7" w14:textId="77777777" w:rsidTr="14CC4AD6">
        <w:tc>
          <w:tcPr>
            <w:tcW w:w="994" w:type="dxa"/>
          </w:tcPr>
          <w:p w14:paraId="77F06FB0"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D5415A1" w14:textId="35D96A8F" w:rsidR="00AA6706" w:rsidRPr="00E76D3B" w:rsidRDefault="00F271BA" w:rsidP="62DAAA3C">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p w14:paraId="0C4E4497"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7C563DE4" w14:textId="77777777" w:rsidR="00F271BA" w:rsidRPr="00E76D3B" w:rsidRDefault="00C058A0">
            <w:pPr>
              <w:spacing w:after="120"/>
              <w:jc w:val="both"/>
            </w:pPr>
            <w:r w:rsidRPr="00E76D3B">
              <w:rPr>
                <w:rFonts w:asciiTheme="minorHAnsi" w:hAnsiTheme="minorHAnsi"/>
                <w:snapToGrid w:val="0"/>
                <w:sz w:val="22"/>
                <w:szCs w:val="22"/>
              </w:rPr>
              <w:t>Není možné.</w:t>
            </w:r>
          </w:p>
        </w:tc>
        <w:tc>
          <w:tcPr>
            <w:tcW w:w="2941"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14CC4AD6">
        <w:tc>
          <w:tcPr>
            <w:tcW w:w="994" w:type="dxa"/>
          </w:tcPr>
          <w:p w14:paraId="679B977D"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 xml:space="preserve">Příjemce, který nevede účetnictví podle tohoto zákona, je povinen vést v případě poskytnutí dotace ze SF daňovou evidenci podle zákona </w:t>
            </w:r>
            <w:r w:rsidRPr="5CE9D558">
              <w:rPr>
                <w:rFonts w:asciiTheme="minorHAnsi" w:hAnsiTheme="minorHAnsi"/>
                <w:snapToGrid w:val="0"/>
                <w:sz w:val="22"/>
                <w:szCs w:val="22"/>
              </w:rPr>
              <w:lastRenderedPageBreak/>
              <w:t>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 xml:space="preserve">218/2000 Sb., o rozpočtových </w:t>
            </w:r>
            <w:r w:rsidRPr="22EFF1D1">
              <w:rPr>
                <w:rFonts w:asciiTheme="minorHAnsi" w:hAnsiTheme="minorHAnsi" w:cstheme="minorBidi"/>
                <w:sz w:val="22"/>
                <w:szCs w:val="22"/>
                <w:lang w:eastAsia="ar-SA"/>
              </w:rPr>
              <w:lastRenderedPageBreak/>
              <w:t>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941"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14CC4AD6">
        <w:tc>
          <w:tcPr>
            <w:tcW w:w="994" w:type="dxa"/>
          </w:tcPr>
          <w:p w14:paraId="65FB52BB"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14CC4AD6">
        <w:trPr>
          <w:trHeight w:val="75"/>
        </w:trPr>
        <w:tc>
          <w:tcPr>
            <w:tcW w:w="994" w:type="dxa"/>
            <w:vMerge w:val="restart"/>
          </w:tcPr>
          <w:p w14:paraId="499A42DD"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701" w:type="dxa"/>
          </w:tcPr>
          <w:p w14:paraId="17AD93B2" w14:textId="77777777" w:rsidR="00DB1707" w:rsidRPr="00E76D3B" w:rsidDel="00717CC7" w:rsidRDefault="00DB1707">
            <w:pPr>
              <w:spacing w:after="120"/>
              <w:jc w:val="both"/>
              <w:rPr>
                <w:rFonts w:asciiTheme="minorHAnsi" w:hAnsiTheme="minorHAnsi"/>
                <w:sz w:val="22"/>
                <w:szCs w:val="22"/>
              </w:rPr>
            </w:pPr>
          </w:p>
        </w:tc>
        <w:tc>
          <w:tcPr>
            <w:tcW w:w="2941"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14CC4AD6">
        <w:trPr>
          <w:trHeight w:val="1542"/>
        </w:trPr>
        <w:tc>
          <w:tcPr>
            <w:tcW w:w="994" w:type="dxa"/>
            <w:vMerge/>
          </w:tcPr>
          <w:p w14:paraId="66204FF1" w14:textId="77777777" w:rsidR="00DB1707" w:rsidRPr="00E76D3B" w:rsidRDefault="00DB1707">
            <w:pPr>
              <w:spacing w:after="120"/>
              <w:rPr>
                <w:rFonts w:asciiTheme="minorHAnsi" w:hAnsiTheme="minorHAnsi"/>
                <w:sz w:val="22"/>
                <w:szCs w:val="22"/>
              </w:rPr>
            </w:pPr>
          </w:p>
        </w:tc>
        <w:tc>
          <w:tcPr>
            <w:tcW w:w="3650"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r w:rsidR="3D39CE05" w14:paraId="40EC2C96" w14:textId="77777777" w:rsidTr="14CC4AD6">
        <w:trPr>
          <w:trHeight w:val="1542"/>
        </w:trPr>
        <w:tc>
          <w:tcPr>
            <w:tcW w:w="954" w:type="dxa"/>
          </w:tcPr>
          <w:p w14:paraId="7DE0FAFC" w14:textId="38F17090" w:rsidR="7DF968C4" w:rsidRPr="009E165A" w:rsidRDefault="7DF968C4" w:rsidP="3D39CE05">
            <w:pPr>
              <w:rPr>
                <w:rFonts w:asciiTheme="minorHAnsi" w:hAnsiTheme="minorHAnsi"/>
                <w:color w:val="000000" w:themeColor="text1"/>
              </w:rPr>
            </w:pPr>
            <w:r w:rsidRPr="009E165A">
              <w:rPr>
                <w:rFonts w:asciiTheme="minorHAnsi" w:hAnsiTheme="minorHAnsi"/>
                <w:color w:val="000000" w:themeColor="text1"/>
              </w:rPr>
              <w:t>20.</w:t>
            </w:r>
          </w:p>
        </w:tc>
        <w:tc>
          <w:tcPr>
            <w:tcW w:w="3574" w:type="dxa"/>
          </w:tcPr>
          <w:p w14:paraId="3CF5803D" w14:textId="77A70A02"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Poskytovatel služby obecného hospodářského zájmu (dále jen „SOHZ”) musí být pověřen k výkonu SOHZ v souladu s Rozhodnutím 2012/21/EU nejméně do konce doby udržitelnosti projektu.</w:t>
            </w:r>
          </w:p>
          <w:p w14:paraId="35E9BA2C" w14:textId="7CFA4FBC"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Pokud bude poskytovatel služby pověřen více pověřovacími akty, je povinen zajistit jejich kontinuální návaznost.</w:t>
            </w:r>
          </w:p>
        </w:tc>
        <w:tc>
          <w:tcPr>
            <w:tcW w:w="1697" w:type="dxa"/>
          </w:tcPr>
          <w:p w14:paraId="24A335CB" w14:textId="20B3F243" w:rsidR="7DF968C4" w:rsidRPr="009E165A" w:rsidRDefault="7DF968C4" w:rsidP="009E165A">
            <w:pPr>
              <w:spacing w:after="120"/>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Vyzvání k nápravě v dodatečné lhůtě – podle odst. 1, §14f zákona č. 218/2000 Sb., o rozpočtových pravidlech, ve znění pozdějších předpisů.</w:t>
            </w:r>
          </w:p>
        </w:tc>
        <w:tc>
          <w:tcPr>
            <w:tcW w:w="2835" w:type="dxa"/>
          </w:tcPr>
          <w:p w14:paraId="2279A4D6" w14:textId="3175F242" w:rsidR="7DF968C4" w:rsidRPr="009E165A" w:rsidRDefault="7DF968C4" w:rsidP="009E165A">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 případě neprovedení opatření k nápravě ve stanovené lhůtě bude vrácena celková částka vyplacené dotace.</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77777777"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lastRenderedPageBreak/>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49645C1F"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56DC67A9" w:rsidR="0063211A" w:rsidRPr="002E1129" w:rsidRDefault="39167EC7" w:rsidP="3D39CE05">
      <w:pPr>
        <w:numPr>
          <w:ilvl w:val="0"/>
          <w:numId w:val="17"/>
        </w:numPr>
        <w:spacing w:after="240"/>
        <w:ind w:left="357" w:hanging="357"/>
        <w:jc w:val="both"/>
        <w:rPr>
          <w:rFonts w:asciiTheme="minorHAnsi" w:eastAsiaTheme="minorEastAsia" w:hAnsiTheme="minorHAnsi" w:cstheme="minorBidi"/>
          <w:snapToGrid w:val="0"/>
        </w:rPr>
      </w:pPr>
      <w:r w:rsidRPr="5CE9D558">
        <w:rPr>
          <w:rFonts w:ascii="Calibri" w:eastAsia="Calibri" w:hAnsi="Calibri" w:cs="Calibri"/>
        </w:rPr>
        <w:t>Dotace je udělena v souladu s Rozhodnutí</w:t>
      </w:r>
      <w:r w:rsidR="05F9B738" w:rsidRPr="5CE9D558">
        <w:rPr>
          <w:rFonts w:ascii="Calibri" w:eastAsia="Calibri" w:hAnsi="Calibri" w:cs="Calibri"/>
        </w:rPr>
        <w:t>m</w:t>
      </w:r>
      <w:r w:rsidRPr="5CE9D558">
        <w:rPr>
          <w:rFonts w:ascii="Calibri" w:eastAsia="Calibri" w:hAnsi="Calibri" w:cs="Calibri"/>
        </w:rPr>
        <w:t xml:space="preserve"> Komise EK 2012/21/EU</w:t>
      </w:r>
      <w:r w:rsidR="00C733B8" w:rsidRPr="5CE9D558">
        <w:rPr>
          <w:rStyle w:val="Znakapoznpodarou"/>
          <w:rFonts w:ascii="Calibri" w:eastAsia="Calibri" w:hAnsi="Calibri" w:cs="Calibri"/>
        </w:rPr>
        <w:footnoteReference w:id="7"/>
      </w:r>
      <w:r w:rsidRPr="5CE9D558">
        <w:rPr>
          <w:rFonts w:ascii="Calibri" w:eastAsia="Calibri" w:hAnsi="Calibri" w:cs="Calibri"/>
        </w:rPr>
        <w:t xml:space="preserve"> ze dne 20. prosince 2011 o použití čl. 106 odst. 2 SFEU na státní podporu ve formě vyrovnávací platby za závazek veřejné služby udělené určitým podnikům pověřeným poskytováním služeb obecného hospodářského </w:t>
      </w:r>
      <w:r w:rsidRPr="009E165A">
        <w:rPr>
          <w:rFonts w:ascii="Calibri" w:eastAsia="Calibri" w:hAnsi="Calibri" w:cs="Calibri"/>
          <w:color w:val="000000" w:themeColor="text1"/>
        </w:rPr>
        <w:t>zájmu</w:t>
      </w:r>
      <w:r w:rsidR="1BFEF9A9" w:rsidRPr="009E165A">
        <w:rPr>
          <w:rFonts w:ascii="Calibri" w:eastAsia="Calibri" w:hAnsi="Calibri" w:cs="Calibri"/>
          <w:color w:val="000000" w:themeColor="text1"/>
        </w:rPr>
        <w:t xml:space="preserve"> (</w:t>
      </w:r>
      <w:r w:rsidR="1BFEF9A9" w:rsidRPr="002E1129">
        <w:rPr>
          <w:rFonts w:ascii="Calibri" w:eastAsia="Calibri" w:hAnsi="Calibri" w:cs="Calibri"/>
          <w:color w:val="000000" w:themeColor="text1"/>
        </w:rPr>
        <w:t>dále jen „Rozhodnutí 20</w:t>
      </w:r>
      <w:r w:rsidR="002E1129" w:rsidRPr="002E1129">
        <w:rPr>
          <w:rFonts w:ascii="Calibri" w:eastAsia="Calibri" w:hAnsi="Calibri" w:cs="Calibri"/>
          <w:color w:val="000000" w:themeColor="text1"/>
        </w:rPr>
        <w:t>12</w:t>
      </w:r>
      <w:r w:rsidR="1BFEF9A9" w:rsidRPr="002E1129">
        <w:rPr>
          <w:rFonts w:ascii="Calibri" w:eastAsia="Calibri" w:hAnsi="Calibri" w:cs="Calibri"/>
          <w:color w:val="000000" w:themeColor="text1"/>
        </w:rPr>
        <w:t>/21/EU”)</w:t>
      </w:r>
      <w:r w:rsidRPr="002E1129">
        <w:rPr>
          <w:rFonts w:ascii="Calibri" w:eastAsia="Calibri" w:hAnsi="Calibri" w:cs="Calibri"/>
          <w:color w:val="000000" w:themeColor="text1"/>
        </w:rPr>
        <w:t>.</w:t>
      </w:r>
    </w:p>
    <w:p w14:paraId="1E439735" w14:textId="5165486C" w:rsidR="0063211A" w:rsidRPr="00C733B8" w:rsidRDefault="77C835AB" w:rsidP="3D39CE05">
      <w:pPr>
        <w:numPr>
          <w:ilvl w:val="0"/>
          <w:numId w:val="17"/>
        </w:numPr>
        <w:spacing w:after="240"/>
        <w:ind w:left="357" w:hanging="357"/>
        <w:jc w:val="both"/>
        <w:rPr>
          <w:rFonts w:asciiTheme="minorHAnsi" w:eastAsiaTheme="minorEastAsia" w:hAnsiTheme="minorHAnsi" w:cstheme="minorBidi"/>
          <w:snapToGrid w:val="0"/>
        </w:rPr>
      </w:pPr>
      <w:r w:rsidRPr="3D39CE05">
        <w:rPr>
          <w:rFonts w:ascii="Calibri" w:eastAsia="Calibri" w:hAnsi="Calibri" w:cs="Calibri"/>
        </w:rPr>
        <w:t xml:space="preserve">Příjemce dotace jako poskytovatel SOHZ musí být pověřen k výkonu </w:t>
      </w:r>
      <w:r w:rsidR="510127CA" w:rsidRPr="3D39CE05">
        <w:rPr>
          <w:rFonts w:ascii="Calibri" w:eastAsia="Calibri" w:hAnsi="Calibri" w:cs="Calibri"/>
        </w:rPr>
        <w:t>SOHZ</w:t>
      </w:r>
      <w:r w:rsidRPr="3D39CE05">
        <w:rPr>
          <w:rFonts w:ascii="Calibri" w:eastAsia="Calibri" w:hAnsi="Calibri" w:cs="Calibri"/>
        </w:rPr>
        <w:t xml:space="preserve"> v souladu s Rozhodnutím 2012/21/EU </w:t>
      </w:r>
      <w:r w:rsidR="609803D5" w:rsidRPr="3D39CE05">
        <w:rPr>
          <w:rFonts w:ascii="Calibri" w:eastAsia="Calibri" w:hAnsi="Calibri" w:cs="Calibri"/>
        </w:rPr>
        <w:t xml:space="preserve">minimálně do konce </w:t>
      </w:r>
      <w:r w:rsidR="009E165A">
        <w:rPr>
          <w:rFonts w:ascii="Calibri" w:eastAsia="Calibri" w:hAnsi="Calibri" w:cs="Calibri"/>
        </w:rPr>
        <w:t xml:space="preserve">doby </w:t>
      </w:r>
      <w:r w:rsidR="009E165A" w:rsidRPr="3D39CE05">
        <w:rPr>
          <w:rFonts w:ascii="Calibri" w:eastAsia="Calibri" w:hAnsi="Calibri" w:cs="Calibri"/>
        </w:rPr>
        <w:t>udržitelnosti</w:t>
      </w:r>
      <w:r w:rsidR="009E165A">
        <w:rPr>
          <w:rFonts w:ascii="Calibri" w:eastAsia="Calibri" w:hAnsi="Calibri" w:cs="Calibri"/>
        </w:rPr>
        <w:t xml:space="preserve"> </w:t>
      </w:r>
      <w:r w:rsidR="009E165A" w:rsidRPr="3D39CE05">
        <w:rPr>
          <w:rFonts w:ascii="Calibri" w:eastAsia="Calibri" w:hAnsi="Calibri" w:cs="Calibri"/>
        </w:rPr>
        <w:t>projektu</w:t>
      </w:r>
      <w:r w:rsidR="609803D5" w:rsidRPr="3D39CE05">
        <w:rPr>
          <w:rFonts w:ascii="Calibri" w:eastAsia="Calibri" w:hAnsi="Calibri" w:cs="Calibri"/>
        </w:rPr>
        <w:t>.</w:t>
      </w:r>
    </w:p>
    <w:p w14:paraId="521ECC87" w14:textId="27F226F7"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5CD296" w14:textId="5A8387A8"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lastRenderedPageBreak/>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ABDB4" w16cex:dateUtc="2021-02-04T14:55:57.806Z"/>
  <w16cex:commentExtensible w16cex:durableId="13C5255F" w16cex:dateUtc="2021-03-12T15:17:21.615Z"/>
  <w16cex:commentExtensible w16cex:durableId="1E1CB76D" w16cex:dateUtc="2021-03-12T15:18:54.38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18DB" w14:textId="224B5163"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E1129">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E1129">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11E8695A"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E112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E1129">
            <w:rPr>
              <w:rFonts w:ascii="Arial" w:hAnsi="Arial" w:cs="Arial"/>
              <w:noProof/>
              <w:sz w:val="20"/>
            </w:rPr>
            <w:t>14</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77777777"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FB6230D" w14:textId="77777777"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F41D3B" w:rsidRPr="00D35A82" w:rsidRDefault="00F41D3B"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4DCD7C7" w14:textId="63E3411E" w:rsidR="00F41D3B" w:rsidRDefault="00F41D3B" w:rsidP="5CE9D558">
      <w:pPr>
        <w:jc w:val="both"/>
        <w:rPr>
          <w:rFonts w:ascii="Calibri" w:eastAsia="Calibri" w:hAnsi="Calibri" w:cs="Calibri"/>
          <w:sz w:val="16"/>
          <w:szCs w:val="16"/>
        </w:rPr>
      </w:pPr>
      <w:r w:rsidRPr="5CE9D558">
        <w:rPr>
          <w:rStyle w:val="Znakapoznpodarou"/>
        </w:rPr>
        <w:footnoteRef/>
      </w:r>
      <w:r>
        <w:t xml:space="preserve"> </w:t>
      </w:r>
      <w:proofErr w:type="spellStart"/>
      <w:r w:rsidRPr="5CE9D558">
        <w:rPr>
          <w:rFonts w:ascii="Calibri" w:eastAsia="Calibri" w:hAnsi="Calibri" w:cs="Calibri"/>
          <w:sz w:val="16"/>
          <w:szCs w:val="16"/>
        </w:rPr>
        <w:t>Úř</w:t>
      </w:r>
      <w:proofErr w:type="spellEnd"/>
      <w:r w:rsidRPr="5CE9D558">
        <w:rPr>
          <w:rFonts w:ascii="Calibri" w:eastAsia="Calibri" w:hAnsi="Calibri" w:cs="Calibri"/>
          <w:sz w:val="16"/>
          <w:szCs w:val="16"/>
        </w:rPr>
        <w:t xml:space="preserve">. </w:t>
      </w:r>
      <w:proofErr w:type="spellStart"/>
      <w:r w:rsidRPr="5CE9D558">
        <w:rPr>
          <w:rFonts w:ascii="Calibri" w:eastAsia="Calibri" w:hAnsi="Calibri" w:cs="Calibri"/>
          <w:sz w:val="16"/>
          <w:szCs w:val="16"/>
        </w:rPr>
        <w:t>věst</w:t>
      </w:r>
      <w:proofErr w:type="spellEnd"/>
      <w:r w:rsidRPr="5CE9D558">
        <w:rPr>
          <w:rFonts w:ascii="Calibri" w:eastAsia="Calibri" w:hAnsi="Calibri" w:cs="Calibr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5"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7"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13"/>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0"/>
  </w:num>
  <w:num w:numId="9">
    <w:abstractNumId w:val="24"/>
  </w:num>
  <w:num w:numId="10">
    <w:abstractNumId w:val="31"/>
  </w:num>
  <w:num w:numId="11">
    <w:abstractNumId w:val="12"/>
  </w:num>
  <w:num w:numId="12">
    <w:abstractNumId w:val="15"/>
  </w:num>
  <w:num w:numId="13">
    <w:abstractNumId w:val="19"/>
  </w:num>
  <w:num w:numId="14">
    <w:abstractNumId w:val="3"/>
  </w:num>
  <w:num w:numId="15">
    <w:abstractNumId w:val="33"/>
  </w:num>
  <w:num w:numId="16">
    <w:abstractNumId w:val="17"/>
  </w:num>
  <w:num w:numId="17">
    <w:abstractNumId w:val="16"/>
  </w:num>
  <w:num w:numId="18">
    <w:abstractNumId w:val="35"/>
  </w:num>
  <w:num w:numId="19">
    <w:abstractNumId w:val="22"/>
  </w:num>
  <w:num w:numId="20">
    <w:abstractNumId w:val="34"/>
  </w:num>
  <w:num w:numId="21">
    <w:abstractNumId w:val="36"/>
  </w:num>
  <w:num w:numId="22">
    <w:abstractNumId w:val="6"/>
  </w:num>
  <w:num w:numId="23">
    <w:abstractNumId w:val="2"/>
  </w:num>
  <w:num w:numId="24">
    <w:abstractNumId w:val="18"/>
  </w:num>
  <w:num w:numId="25">
    <w:abstractNumId w:val="37"/>
  </w:num>
  <w:num w:numId="26">
    <w:abstractNumId w:val="23"/>
  </w:num>
  <w:num w:numId="27">
    <w:abstractNumId w:val="8"/>
  </w:num>
  <w:num w:numId="28">
    <w:abstractNumId w:val="29"/>
  </w:num>
  <w:num w:numId="29">
    <w:abstractNumId w:val="27"/>
  </w:num>
  <w:num w:numId="30">
    <w:abstractNumId w:val="28"/>
  </w:num>
  <w:num w:numId="31">
    <w:abstractNumId w:val="32"/>
  </w:num>
  <w:num w:numId="32">
    <w:abstractNumId w:val="18"/>
  </w:num>
  <w:num w:numId="33">
    <w:abstractNumId w:val="26"/>
  </w:num>
  <w:num w:numId="34">
    <w:abstractNumId w:val="20"/>
  </w:num>
  <w:num w:numId="35">
    <w:abstractNumId w:val="30"/>
  </w:num>
  <w:num w:numId="3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0E7"/>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67ED"/>
    <w:rsid w:val="00AC7A7E"/>
    <w:rsid w:val="00AC7E25"/>
    <w:rsid w:val="00AD053D"/>
    <w:rsid w:val="00AD0F5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0896950f96e7428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10.xml><?xml version="1.0" encoding="utf-8"?>
<ds:datastoreItem xmlns:ds="http://schemas.openxmlformats.org/officeDocument/2006/customXml" ds:itemID="{B9A167AC-CC9F-4EFB-AB48-5B499321EB99}">
  <ds:schemaRefs>
    <ds:schemaRef ds:uri="http://schemas.openxmlformats.org/officeDocument/2006/bibliography"/>
  </ds:schemaRefs>
</ds:datastoreItem>
</file>

<file path=customXml/itemProps11.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12.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14.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15.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16.xml><?xml version="1.0" encoding="utf-8"?>
<ds:datastoreItem xmlns:ds="http://schemas.openxmlformats.org/officeDocument/2006/customXml" ds:itemID="{68A90125-6687-4ED2-BE90-9D87D910F455}">
  <ds:schemaRefs>
    <ds:schemaRef ds:uri="http://schemas.openxmlformats.org/officeDocument/2006/bibliography"/>
  </ds:schemaRefs>
</ds:datastoreItem>
</file>

<file path=customXml/itemProps17.xml><?xml version="1.0" encoding="utf-8"?>
<ds:datastoreItem xmlns:ds="http://schemas.openxmlformats.org/officeDocument/2006/customXml" ds:itemID="{B848B74D-9D50-4840-A2AC-70D47A83F12A}">
  <ds:schemaRefs>
    <ds:schemaRef ds:uri="http://schemas.openxmlformats.org/officeDocument/2006/bibliography"/>
  </ds:schemaRefs>
</ds:datastoreItem>
</file>

<file path=customXml/itemProps18.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19.xml><?xml version="1.0" encoding="utf-8"?>
<ds:datastoreItem xmlns:ds="http://schemas.openxmlformats.org/officeDocument/2006/customXml" ds:itemID="{F15B6BF3-D7EE-44FA-AE5E-D8F963BB582C}">
  <ds:schemaRefs>
    <ds:schemaRef ds:uri="http://schemas.openxmlformats.org/officeDocument/2006/bibliography"/>
  </ds:schemaRefs>
</ds:datastoreItem>
</file>

<file path=customXml/itemProps2.xml><?xml version="1.0" encoding="utf-8"?>
<ds:datastoreItem xmlns:ds="http://schemas.openxmlformats.org/officeDocument/2006/customXml" ds:itemID="{226F761B-E08E-4AF1-8F1C-FD4AC74AC6F9}">
  <ds:schemaRefs>
    <ds:schemaRef ds:uri="http://schemas.openxmlformats.org/officeDocument/2006/bibliography"/>
  </ds:schemaRefs>
</ds:datastoreItem>
</file>

<file path=customXml/itemProps20.xml><?xml version="1.0" encoding="utf-8"?>
<ds:datastoreItem xmlns:ds="http://schemas.openxmlformats.org/officeDocument/2006/customXml" ds:itemID="{6EB722AF-C69D-45DE-BE7B-3F11D2B6D12F}">
  <ds:schemaRefs>
    <ds:schemaRef ds:uri="http://schemas.openxmlformats.org/officeDocument/2006/bibliography"/>
  </ds:schemaRefs>
</ds:datastoreItem>
</file>

<file path=customXml/itemProps21.xml><?xml version="1.0" encoding="utf-8"?>
<ds:datastoreItem xmlns:ds="http://schemas.openxmlformats.org/officeDocument/2006/customXml" ds:itemID="{D63537F7-3149-47E3-B684-5D59CC131CC8}">
  <ds:schemaRefs>
    <ds:schemaRef ds:uri="http://schemas.openxmlformats.org/officeDocument/2006/bibliography"/>
  </ds:schemaRefs>
</ds:datastoreItem>
</file>

<file path=customXml/itemProps22.xml><?xml version="1.0" encoding="utf-8"?>
<ds:datastoreItem xmlns:ds="http://schemas.openxmlformats.org/officeDocument/2006/customXml" ds:itemID="{AD874A1D-70BC-4810-873F-5CDBD1D121BD}">
  <ds:schemaRefs>
    <ds:schemaRef ds:uri="http://schemas.openxmlformats.org/officeDocument/2006/bibliography"/>
  </ds:schemaRefs>
</ds:datastoreItem>
</file>

<file path=customXml/itemProps23.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24.xml><?xml version="1.0" encoding="utf-8"?>
<ds:datastoreItem xmlns:ds="http://schemas.openxmlformats.org/officeDocument/2006/customXml" ds:itemID="{6E70818C-D430-4B6E-B401-C40DDF5395B9}">
  <ds:schemaRefs>
    <ds:schemaRef ds:uri="http://schemas.openxmlformats.org/officeDocument/2006/bibliography"/>
  </ds:schemaRefs>
</ds:datastoreItem>
</file>

<file path=customXml/itemProps25.xml><?xml version="1.0" encoding="utf-8"?>
<ds:datastoreItem xmlns:ds="http://schemas.openxmlformats.org/officeDocument/2006/customXml" ds:itemID="{0AB7727A-4AC8-428A-ADFB-0B394F31E2AA}">
  <ds:schemaRefs>
    <ds:schemaRef ds:uri="http://schemas.openxmlformats.org/officeDocument/2006/bibliography"/>
  </ds:schemaRefs>
</ds:datastoreItem>
</file>

<file path=customXml/itemProps3.xml><?xml version="1.0" encoding="utf-8"?>
<ds:datastoreItem xmlns:ds="http://schemas.openxmlformats.org/officeDocument/2006/customXml" ds:itemID="{DD251035-87F6-4CF0-B4A0-B0544E3F48DC}">
  <ds:schemaRefs>
    <ds:schemaRef ds:uri="http://schemas.openxmlformats.org/officeDocument/2006/bibliography"/>
  </ds:schemaRefs>
</ds:datastoreItem>
</file>

<file path=customXml/itemProps4.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5.xml><?xml version="1.0" encoding="utf-8"?>
<ds:datastoreItem xmlns:ds="http://schemas.openxmlformats.org/officeDocument/2006/customXml" ds:itemID="{82FA7EA7-F5A9-4777-BBFF-1FA382EA2B0B}">
  <ds:schemaRefs>
    <ds:schemaRef ds:uri="http://schemas.openxmlformats.org/officeDocument/2006/bibliography"/>
  </ds:schemaRefs>
</ds:datastoreItem>
</file>

<file path=customXml/itemProps6.xml><?xml version="1.0" encoding="utf-8"?>
<ds:datastoreItem xmlns:ds="http://schemas.openxmlformats.org/officeDocument/2006/customXml" ds:itemID="{AAD26F50-B465-4C25-9562-7D3A871A4E1C}">
  <ds:schemaRefs>
    <ds:schemaRef ds:uri="http://schemas.openxmlformats.org/officeDocument/2006/bibliography"/>
  </ds:schemaRefs>
</ds:datastoreItem>
</file>

<file path=customXml/itemProps7.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8.xml><?xml version="1.0" encoding="utf-8"?>
<ds:datastoreItem xmlns:ds="http://schemas.openxmlformats.org/officeDocument/2006/customXml" ds:itemID="{BD66E55F-13C6-4662-A83D-91E801C7E257}">
  <ds:schemaRefs>
    <ds:schemaRef ds:uri="http://schemas.openxmlformats.org/officeDocument/2006/bibliography"/>
  </ds:schemaRefs>
</ds:datastoreItem>
</file>

<file path=customXml/itemProps9.xml><?xml version="1.0" encoding="utf-8"?>
<ds:datastoreItem xmlns:ds="http://schemas.openxmlformats.org/officeDocument/2006/customXml" ds:itemID="{ABC6947C-C76A-49C4-BB83-8E19621A3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3463</Words>
  <Characters>19977</Characters>
  <Application>Microsoft Office Word</Application>
  <DocSecurity>0</DocSecurity>
  <Lines>166</Lines>
  <Paragraphs>46</Paragraphs>
  <ScaleCrop>false</ScaleCrop>
  <Company>MMR</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18</cp:revision>
  <cp:lastPrinted>2014-05-14T09:54:00Z</cp:lastPrinted>
  <dcterms:created xsi:type="dcterms:W3CDTF">2021-02-16T08:29:00Z</dcterms:created>
  <dcterms:modified xsi:type="dcterms:W3CDTF">2021-04-14T17:29:00Z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